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firstLine="533"/>
        <w:spacing w:before="293" w:line="191" w:lineRule="auto"/>
        <w:rPr>
          <w:rFonts w:ascii="Microsoft YaHei" w:hAnsi="Microsoft YaHei" w:eastAsia="Microsoft YaHei" w:cs="Microsoft YaHei"/>
          <w:sz w:val="16"/>
          <w:szCs w:val="16"/>
        </w:rPr>
      </w:pPr>
      <w:r>
        <w:drawing>
          <wp:anchor distT="0" distB="0" distL="0" distR="0" simplePos="0" relativeHeight="251659264" behindDoc="0" locked="0" layoutInCell="0" allowOverlap="1">
            <wp:simplePos x="0" y="0"/>
            <wp:positionH relativeFrom="page">
              <wp:posOffset>436625</wp:posOffset>
            </wp:positionH>
            <wp:positionV relativeFrom="page">
              <wp:posOffset>1891969</wp:posOffset>
            </wp:positionV>
            <wp:extent cx="6695948" cy="6832"/>
            <wp:effectExtent l="0" t="0" r="0" b="0"/>
            <wp:wrapNone/>
            <wp:docPr id="1" name="IM 1"/>
            <wp:cNvGraphicFramePr/>
            <a:graphic>
              <a:graphicData uri="http://schemas.openxmlformats.org/drawingml/2006/picture">
                <pic:pic>
                  <pic:nvPicPr>
                    <pic:cNvPr id="1" name="IM 1"/>
                    <pic:cNvPicPr/>
                  </pic:nvPicPr>
                  <pic:blipFill>
                    <a:blip r:embed="rId1"/>
                    <a:stretch>
                      <a:fillRect/>
                    </a:stretch>
                  </pic:blipFill>
                  <pic:spPr>
                    <a:xfrm rot="0">
                      <a:off x="0" y="0"/>
                      <a:ext cx="6695948" cy="6832"/>
                    </a:xfrm>
                    <a:prstGeom prst="rect">
                      <a:avLst/>
                    </a:prstGeom>
                  </pic:spPr>
                </pic:pic>
              </a:graphicData>
            </a:graphic>
          </wp:anchor>
        </w:drawing>
      </w:r>
      <w:r>
        <w:drawing>
          <wp:anchor distT="0" distB="0" distL="0" distR="0" simplePos="0" relativeHeight="251658240" behindDoc="0" locked="0" layoutInCell="0" allowOverlap="1">
            <wp:simplePos x="0" y="0"/>
            <wp:positionH relativeFrom="page">
              <wp:posOffset>368299</wp:posOffset>
            </wp:positionH>
            <wp:positionV relativeFrom="page">
              <wp:posOffset>504951</wp:posOffset>
            </wp:positionV>
            <wp:extent cx="3265982" cy="512444"/>
            <wp:effectExtent l="0" t="0" r="0" b="0"/>
            <wp:wrapNone/>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3265982" cy="512444"/>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1"/>
          <w:position w:val="1"/>
        </w:rPr>
        <w:t>                                 </w:t>
      </w:r>
      <w:r>
        <w:rPr>
          <w:rFonts w:ascii="Microsoft YaHei" w:hAnsi="Microsoft YaHei" w:eastAsia="Microsoft YaHei" w:cs="Microsoft YaHei"/>
          <w:sz w:val="16"/>
          <w:szCs w:val="16"/>
          <w:spacing w:val="-2"/>
        </w:rPr>
        <w:t>加强会计理论与实务研究</w:t>
      </w:r>
      <w:r>
        <w:rPr>
          <w:rFonts w:ascii="Microsoft YaHei" w:hAnsi="Microsoft YaHei" w:eastAsia="Microsoft YaHei" w:cs="Microsoft YaHei"/>
          <w:sz w:val="16"/>
          <w:szCs w:val="16"/>
          <w:spacing w:val="6"/>
        </w:rPr>
        <w:t>      </w:t>
      </w:r>
      <w:r>
        <w:rPr>
          <w:rFonts w:ascii="Microsoft YaHei" w:hAnsi="Microsoft YaHei" w:eastAsia="Microsoft YaHei" w:cs="Microsoft YaHei"/>
          <w:sz w:val="16"/>
          <w:szCs w:val="16"/>
          <w:spacing w:val="-2"/>
        </w:rPr>
        <w:t>推动经济社会高质量发展</w:t>
      </w:r>
      <w:r>
        <w:rPr>
          <w:rFonts w:ascii="Arial" w:hAnsi="Arial" w:eastAsia="Arial" w:cs="Arial"/>
          <w:sz w:val="16"/>
          <w:szCs w:val="16"/>
          <w:spacing w:val="-2"/>
        </w:rPr>
        <w:t>——</w:t>
      </w:r>
      <w:r>
        <w:rPr>
          <w:rFonts w:ascii="Arial" w:hAnsi="Arial" w:eastAsia="Arial" w:cs="Arial"/>
          <w:sz w:val="16"/>
          <w:szCs w:val="16"/>
          <w:spacing w:val="34"/>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规划纲要》系列解读之十</w:t>
      </w:r>
    </w:p>
    <w:p>
      <w:pPr>
        <w:spacing w:line="369" w:lineRule="auto"/>
        <w:rPr>
          <w:rFonts w:ascii="SimSun"/>
          <w:sz w:val="21"/>
        </w:rPr>
      </w:pPr>
      <w:r/>
    </w:p>
    <w:p>
      <w:pPr>
        <w:ind w:firstLine="9228"/>
        <w:spacing w:before="141" w:line="180" w:lineRule="auto"/>
        <w:rPr>
          <w:rFonts w:ascii="Microsoft YaHei" w:hAnsi="Microsoft YaHei" w:eastAsia="Microsoft YaHei" w:cs="Microsoft YaHei"/>
          <w:sz w:val="33"/>
          <w:szCs w:val="33"/>
        </w:rPr>
      </w:pPr>
      <w:r>
        <w:rPr>
          <w:rFonts w:ascii="Microsoft YaHei" w:hAnsi="Microsoft YaHei" w:eastAsia="Microsoft YaHei" w:cs="Microsoft YaHei"/>
          <w:sz w:val="33"/>
          <w:szCs w:val="33"/>
          <w:color w:val="002973"/>
          <w:spacing w:val="2"/>
        </w:rPr>
        <w:t>会计司</w:t>
      </w:r>
    </w:p>
    <w:p>
      <w:pPr>
        <w:rPr/>
      </w:pPr>
      <w:r/>
    </w:p>
    <w:p>
      <w:pPr>
        <w:spacing w:line="125" w:lineRule="exact"/>
        <w:rPr/>
      </w:pPr>
      <w:r/>
    </w:p>
    <w:p>
      <w:pPr>
        <w:sectPr>
          <w:pgSz w:w="11900" w:h="16839"/>
          <w:pgMar w:top="0" w:right="0" w:bottom="0" w:left="0" w:header="0" w:footer="0" w:gutter="0"/>
          <w:cols w:equalWidth="0" w:num="1">
            <w:col w:w="11900" w:space="0"/>
          </w:cols>
        </w:sectPr>
        <w:rPr/>
      </w:pPr>
    </w:p>
    <w:p>
      <w:pPr>
        <w:ind w:firstLine="803"/>
        <w:spacing w:before="147"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spacing w:val="-1"/>
        </w:rPr>
        <w:t>2022年04月27日</w:t>
      </w:r>
      <w:r>
        <w:rPr>
          <w:rFonts w:ascii="Microsoft YaHei" w:hAnsi="Microsoft YaHei" w:eastAsia="Microsoft YaHei" w:cs="Microsoft YaHei"/>
          <w:sz w:val="15"/>
          <w:szCs w:val="15"/>
          <w:color w:val="ABABAB"/>
          <w:spacing w:val="6"/>
        </w:rPr>
        <w:t>  </w:t>
      </w:r>
      <w:r>
        <w:rPr>
          <w:rFonts w:ascii="Microsoft YaHei" w:hAnsi="Microsoft YaHei" w:eastAsia="Microsoft YaHei" w:cs="Microsoft YaHei"/>
          <w:sz w:val="15"/>
          <w:szCs w:val="15"/>
          <w:color w:val="ABABAB"/>
          <w:spacing w:val="-1"/>
        </w:rPr>
        <w:t>星期三</w:t>
      </w:r>
    </w:p>
    <w:p>
      <w:pPr>
        <w:spacing w:line="42" w:lineRule="exact"/>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86" w:type="dxa"/>
        <w:tblInd w:w="638" w:type="dxa"/>
        <w:tblLayout w:type="fixed"/>
        <w:tblBorders>
          <w:left w:val="single" w:color="64A0D2" w:sz="4" w:space="0"/>
          <w:bottom w:val="single" w:color="64A0D2" w:sz="4" w:space="0"/>
          <w:right w:val="single" w:color="64A0D2" w:sz="4" w:space="0"/>
          <w:top w:val="single" w:color="64A0D2" w:sz="4" w:space="0"/>
        </w:tblBorders>
      </w:tblPr>
      <w:tblGrid>
        <w:gridCol w:w="1786"/>
      </w:tblGrid>
      <w:tr>
        <w:trPr>
          <w:trHeight w:val="281" w:hRule="atLeast"/>
        </w:trPr>
        <w:tc>
          <w:tcPr>
            <w:tcW w:w="1786" w:type="dxa"/>
            <w:vAlign w:val="top"/>
          </w:tcPr>
          <w:p>
            <w:pPr>
              <w:ind w:firstLine="78"/>
              <w:spacing w:before="71"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ABABAB"/>
                <w:spacing w:val="2"/>
              </w:rPr>
              <w:t>请输入关键字</w:t>
            </w:r>
          </w:p>
        </w:tc>
      </w:tr>
    </w:tbl>
    <w:p>
      <w:pPr>
        <w:spacing w:line="21" w:lineRule="exact"/>
        <w:rPr>
          <w:rFonts w:ascii="SimSun"/>
          <w:sz w:val="2"/>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33" w:type="dxa"/>
        <w:tblInd w:w="14" w:type="dxa"/>
        <w:tblLayout w:type="fixed"/>
        <w:tblBorders>
          <w:left w:val="single" w:color="64A0D2" w:sz="4" w:space="0"/>
          <w:bottom w:val="single" w:color="64A0D2" w:sz="4" w:space="0"/>
          <w:right w:val="single" w:color="64A0D2" w:sz="4" w:space="0"/>
          <w:top w:val="single" w:color="64A0D2" w:sz="4" w:space="0"/>
        </w:tblBorders>
      </w:tblPr>
      <w:tblGrid>
        <w:gridCol w:w="1733"/>
      </w:tblGrid>
      <w:tr>
        <w:trPr>
          <w:trHeight w:val="301" w:hRule="atLeast"/>
        </w:trPr>
        <w:tc>
          <w:tcPr>
            <w:shd w:val="clear" w:fill="FFFFFF"/>
            <w:tcW w:w="1733" w:type="dxa"/>
            <w:vAlign w:val="top"/>
          </w:tcPr>
          <w:p>
            <w:pPr>
              <w:ind w:firstLine="109"/>
              <w:spacing w:before="78"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rPr>
              <w:t>会计司</w:t>
            </w:r>
          </w:p>
        </w:tc>
      </w:tr>
    </w:tbl>
    <w:p>
      <w:pPr>
        <w:spacing w:line="14" w:lineRule="auto"/>
        <w:rPr>
          <w:rFonts w:ascii="SimSun"/>
          <w:sz w:val="2"/>
        </w:rPr>
      </w:pPr>
      <w:r/>
    </w:p>
    <w:p>
      <w:pPr>
        <w:spacing w:line="14" w:lineRule="auto"/>
        <w:rPr>
          <w:rFonts w:ascii="SimSun"/>
          <w:sz w:val="2"/>
        </w:rPr>
      </w:pPr>
      <w:r>
        <w:rPr>
          <w:rFonts w:ascii="SimSun" w:hAnsi="SimSun" w:eastAsia="SimSun" w:cs="SimSun"/>
          <w:sz w:val="2"/>
          <w:szCs w:val="2"/>
        </w:rPr>
        <w:br w:type="column"/>
      </w:r>
    </w:p>
    <w:p>
      <w:pPr>
        <w:ind w:firstLine="109"/>
        <w:spacing w:before="80" w:line="301" w:lineRule="exact"/>
        <w:rPr>
          <w:rFonts w:ascii="Microsoft YaHei" w:hAnsi="Microsoft YaHei" w:eastAsia="Microsoft YaHei" w:cs="Microsoft YaHei"/>
          <w:sz w:val="15"/>
          <w:szCs w:val="15"/>
        </w:rPr>
      </w:pPr>
      <w:hyperlink w:history="true" r:id="rId3">
        <w:r>
          <w:rPr>
            <w:shd w:val="clear" w:fill="FFFFFE"/>
            <w:rFonts w:ascii="Microsoft YaHei" w:hAnsi="Microsoft YaHei" w:eastAsia="Microsoft YaHei" w:cs="Microsoft YaHei"/>
            <w:sz w:val="15"/>
            <w:szCs w:val="15"/>
            <w:color w:val="ABABAB"/>
            <w:spacing w:val="-1"/>
            <w:position w:val="3"/>
          </w:rPr>
          <w:t>搜索</w:t>
        </w:r>
      </w:hyperlink>
    </w:p>
    <w:p>
      <w:pPr>
        <w:spacing w:line="14" w:lineRule="auto"/>
        <w:rPr>
          <w:rFonts w:ascii="SimSun"/>
          <w:sz w:val="2"/>
        </w:rPr>
      </w:pPr>
      <w:r>
        <w:rPr>
          <w:rFonts w:ascii="SimSun" w:hAnsi="SimSun" w:eastAsia="SimSun" w:cs="SimSun"/>
          <w:sz w:val="2"/>
          <w:szCs w:val="2"/>
        </w:rPr>
        <w:br w:type="column"/>
      </w:r>
    </w:p>
    <w:p>
      <w:pPr>
        <w:ind w:firstLine="1156"/>
        <w:spacing w:before="112" w:line="191" w:lineRule="auto"/>
        <w:rPr>
          <w:rFonts w:ascii="Microsoft YaHei" w:hAnsi="Microsoft YaHei" w:eastAsia="Microsoft YaHei" w:cs="Microsoft YaHei"/>
          <w:sz w:val="15"/>
          <w:szCs w:val="15"/>
        </w:rPr>
      </w:pPr>
      <w:hyperlink w:history="true" r:id="rId4">
        <w:r>
          <w:rPr>
            <w:rFonts w:ascii="Microsoft YaHei" w:hAnsi="Microsoft YaHei" w:eastAsia="Microsoft YaHei" w:cs="Microsoft YaHei"/>
            <w:sz w:val="15"/>
            <w:szCs w:val="15"/>
            <w:color w:val="63839E"/>
          </w:rPr>
          <w:t>返回主站</w:t>
        </w:r>
      </w:hyperlink>
    </w:p>
    <w:p>
      <w:pPr>
        <w:sectPr>
          <w:type w:val="continuous"/>
          <w:pgSz w:w="11900" w:h="16839"/>
          <w:pgMar w:top="0" w:right="0" w:bottom="0" w:left="0" w:header="0" w:footer="0" w:gutter="0"/>
          <w:cols w:equalWidth="0" w:num="5">
            <w:col w:w="3128" w:space="100"/>
            <w:col w:w="2440" w:space="100"/>
            <w:col w:w="1753" w:space="75"/>
            <w:col w:w="1672" w:space="100"/>
            <w:col w:w="2533" w:space="0"/>
          </w:cols>
        </w:sectPr>
        <w:rPr/>
      </w:pPr>
    </w:p>
    <w:p>
      <w:pPr>
        <w:spacing w:line="312" w:lineRule="auto"/>
        <w:rPr>
          <w:rFonts w:ascii="SimSun"/>
          <w:sz w:val="21"/>
        </w:rPr>
      </w:pPr>
      <w:r/>
    </w:p>
    <w:p>
      <w:pPr>
        <w:ind w:firstLine="857"/>
        <w:spacing w:before="64" w:line="191"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9"/>
        </w:rPr>
        <w:t>当前位置：</w:t>
      </w:r>
      <w:r>
        <w:rPr>
          <w:rFonts w:ascii="Microsoft YaHei" w:hAnsi="Microsoft YaHei" w:eastAsia="Microsoft YaHei" w:cs="Microsoft YaHei"/>
          <w:sz w:val="15"/>
          <w:szCs w:val="15"/>
          <w:color w:val="333333"/>
          <w:spacing w:val="9"/>
        </w:rPr>
        <w:t>  </w:t>
      </w:r>
      <w:hyperlink w:history="true" r:id="rId5">
        <w:r>
          <w:rPr>
            <w:rFonts w:ascii="Microsoft YaHei" w:hAnsi="Microsoft YaHei" w:eastAsia="Microsoft YaHei" w:cs="Microsoft YaHei"/>
            <w:sz w:val="15"/>
            <w:szCs w:val="15"/>
            <w:color w:val="333333"/>
            <w:spacing w:val="-9"/>
          </w:rPr>
          <w:t>首页</w:t>
        </w:r>
      </w:hyperlink>
      <w:r>
        <w:rPr>
          <w:rFonts w:ascii="Microsoft YaHei" w:hAnsi="Microsoft YaHei" w:eastAsia="Microsoft YaHei" w:cs="Microsoft YaHei"/>
          <w:sz w:val="15"/>
          <w:szCs w:val="15"/>
          <w:color w:val="333333"/>
          <w:spacing w:val="-9"/>
        </w:rPr>
        <w:t>&gt;</w:t>
      </w:r>
      <w:hyperlink w:history="true" r:id="rId6">
        <w:r>
          <w:rPr>
            <w:rFonts w:ascii="Microsoft YaHei" w:hAnsi="Microsoft YaHei" w:eastAsia="Microsoft YaHei" w:cs="Microsoft YaHei"/>
            <w:sz w:val="15"/>
            <w:szCs w:val="15"/>
            <w:color w:val="333333"/>
            <w:spacing w:val="-9"/>
          </w:rPr>
          <w:t>政策解读</w:t>
        </w:r>
      </w:hyperlink>
    </w:p>
    <w:p>
      <w:pPr>
        <w:spacing w:line="351" w:lineRule="auto"/>
        <w:rPr>
          <w:rFonts w:ascii="SimSun"/>
          <w:sz w:val="21"/>
        </w:rPr>
      </w:pPr>
      <w:r/>
    </w:p>
    <w:p>
      <w:pPr>
        <w:ind w:firstLine="2853"/>
        <w:spacing w:before="112" w:line="558" w:lineRule="exact"/>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2"/>
          <w:position w:val="21"/>
        </w:rPr>
        <w:t>加强会计理论与实务研究</w:t>
      </w:r>
      <w:r>
        <w:rPr>
          <w:rFonts w:ascii="Microsoft YaHei" w:hAnsi="Microsoft YaHei" w:eastAsia="Microsoft YaHei" w:cs="Microsoft YaHei"/>
          <w:sz w:val="26"/>
          <w:szCs w:val="26"/>
          <w:color w:val="333333"/>
          <w:position w:val="21"/>
        </w:rPr>
        <w:t>       </w:t>
      </w:r>
      <w:r>
        <w:rPr>
          <w:rFonts w:ascii="Microsoft YaHei" w:hAnsi="Microsoft YaHei" w:eastAsia="Microsoft YaHei" w:cs="Microsoft YaHei"/>
          <w:sz w:val="26"/>
          <w:szCs w:val="26"/>
          <w:b/>
          <w:bCs/>
          <w:color w:val="333333"/>
          <w:spacing w:val="-2"/>
          <w:position w:val="21"/>
        </w:rPr>
        <w:t>推动经济社会高质量发展</w:t>
      </w:r>
    </w:p>
    <w:p>
      <w:pPr>
        <w:ind w:firstLine="3708"/>
        <w:spacing w:line="204" w:lineRule="auto"/>
        <w:rPr>
          <w:rFonts w:ascii="Microsoft YaHei" w:hAnsi="Microsoft YaHei" w:eastAsia="Microsoft YaHei" w:cs="Microsoft YaHei"/>
          <w:sz w:val="17"/>
          <w:szCs w:val="17"/>
        </w:rPr>
      </w:pPr>
      <w:r>
        <w:rPr>
          <w:rFonts w:ascii="Microsoft YaHei" w:hAnsi="Microsoft YaHei" w:eastAsia="Microsoft YaHei" w:cs="Microsoft YaHei"/>
          <w:sz w:val="17"/>
          <w:szCs w:val="17"/>
          <w:b/>
          <w:bCs/>
          <w:color w:val="333333"/>
          <w:spacing w:val="2"/>
        </w:rPr>
        <w:t>——《会计改革与发展“十四五”规划纲要》系列解读之十</w:t>
      </w:r>
    </w:p>
    <w:p>
      <w:pPr>
        <w:ind w:firstLine="4634"/>
        <w:spacing w:before="299" w:line="187" w:lineRule="auto"/>
        <w:rPr>
          <w:rFonts w:ascii="SimSun" w:hAnsi="SimSun" w:eastAsia="SimSun" w:cs="SimSun"/>
          <w:sz w:val="17"/>
          <w:szCs w:val="17"/>
        </w:rPr>
      </w:pPr>
      <w:r>
        <w:rPr>
          <w:rFonts w:ascii="SimSun" w:hAnsi="SimSun" w:eastAsia="SimSun" w:cs="SimSun"/>
          <w:sz w:val="17"/>
          <w:szCs w:val="17"/>
          <w:color w:val="333333"/>
        </w:rPr>
        <w:t>2022年4月24日</w:t>
      </w:r>
      <w:r>
        <w:rPr>
          <w:rFonts w:ascii="SimSun" w:hAnsi="SimSun" w:eastAsia="SimSun" w:cs="SimSun"/>
          <w:sz w:val="17"/>
          <w:szCs w:val="17"/>
          <w:color w:val="333333"/>
          <w:spacing w:val="7"/>
        </w:rPr>
        <w:t>   </w:t>
      </w:r>
      <w:r>
        <w:rPr>
          <w:rFonts w:ascii="SimSun" w:hAnsi="SimSun" w:eastAsia="SimSun" w:cs="SimSun"/>
          <w:sz w:val="17"/>
          <w:szCs w:val="17"/>
          <w:color w:val="333333"/>
        </w:rPr>
        <w:t>来源：会计司</w:t>
      </w:r>
    </w:p>
    <w:p>
      <w:pPr>
        <w:ind w:left="1044" w:right="1016" w:firstLine="346"/>
        <w:spacing w:before="238" w:line="327" w:lineRule="auto"/>
        <w:rPr>
          <w:rFonts w:ascii="SimSun" w:hAnsi="SimSun" w:eastAsia="SimSun" w:cs="SimSun"/>
          <w:sz w:val="17"/>
          <w:szCs w:val="17"/>
        </w:rPr>
      </w:pPr>
      <w:r>
        <w:rPr>
          <w:rFonts w:ascii="SimSun" w:hAnsi="SimSun" w:eastAsia="SimSun" w:cs="SimSun"/>
          <w:sz w:val="17"/>
          <w:szCs w:val="17"/>
          <w:color w:val="333333"/>
          <w:spacing w:val="-2"/>
        </w:rPr>
        <w:t>《会计改革与发展“十四五”规划纲要》</w:t>
      </w:r>
      <w:r>
        <w:rPr>
          <w:rFonts w:ascii="SimSun" w:hAnsi="SimSun" w:eastAsia="SimSun" w:cs="SimSun"/>
          <w:sz w:val="17"/>
          <w:szCs w:val="17"/>
          <w:color w:val="333333"/>
          <w:spacing w:val="45"/>
        </w:rPr>
        <w:t> </w:t>
      </w:r>
      <w:r>
        <w:rPr>
          <w:rFonts w:ascii="SimSun" w:hAnsi="SimSun" w:eastAsia="SimSun" w:cs="SimSun"/>
          <w:sz w:val="17"/>
          <w:szCs w:val="17"/>
          <w:color w:val="333333"/>
          <w:spacing w:val="-2"/>
        </w:rPr>
        <w:t>（以下简称会计“十四五”规划）</w:t>
      </w:r>
      <w:r>
        <w:rPr>
          <w:rFonts w:ascii="SimSun" w:hAnsi="SimSun" w:eastAsia="SimSun" w:cs="SimSun"/>
          <w:sz w:val="17"/>
          <w:szCs w:val="17"/>
          <w:color w:val="333333"/>
          <w:spacing w:val="36"/>
        </w:rPr>
        <w:t> </w:t>
      </w:r>
      <w:r>
        <w:rPr>
          <w:rFonts w:ascii="SimSun" w:hAnsi="SimSun" w:eastAsia="SimSun" w:cs="SimSun"/>
          <w:sz w:val="17"/>
          <w:szCs w:val="17"/>
          <w:color w:val="333333"/>
          <w:spacing w:val="-2"/>
        </w:rPr>
        <w:t>明确提出要加强会计理论和实务研究，为有关政策</w:t>
      </w:r>
      <w:r>
        <w:rPr>
          <w:rFonts w:ascii="SimSun" w:hAnsi="SimSun" w:eastAsia="SimSun" w:cs="SimSun"/>
          <w:sz w:val="17"/>
          <w:szCs w:val="17"/>
          <w:color w:val="333333"/>
        </w:rPr>
        <w:t> </w:t>
      </w:r>
      <w:r>
        <w:rPr>
          <w:rFonts w:ascii="SimSun" w:hAnsi="SimSun" w:eastAsia="SimSun" w:cs="SimSun"/>
          <w:sz w:val="17"/>
          <w:szCs w:val="17"/>
          <w:color w:val="333333"/>
        </w:rPr>
        <w:t>的制定完善及有效实施提供科学论证和决策参考；</w:t>
      </w:r>
      <w:r>
        <w:rPr>
          <w:rFonts w:ascii="SimSun" w:hAnsi="SimSun" w:eastAsia="SimSun" w:cs="SimSun"/>
          <w:sz w:val="17"/>
          <w:szCs w:val="17"/>
          <w:color w:val="333333"/>
          <w:spacing w:val="102"/>
        </w:rPr>
        <w:t> </w:t>
      </w:r>
      <w:r>
        <w:rPr>
          <w:rFonts w:ascii="SimSun" w:hAnsi="SimSun" w:eastAsia="SimSun" w:cs="SimSun"/>
          <w:sz w:val="17"/>
          <w:szCs w:val="17"/>
          <w:color w:val="333333"/>
        </w:rPr>
        <w:t>完善理论研究及成果转化应用机制，形成会计理论研究体系；</w:t>
      </w:r>
      <w:r>
        <w:rPr>
          <w:rFonts w:ascii="SimSun" w:hAnsi="SimSun" w:eastAsia="SimSun" w:cs="SimSun"/>
          <w:sz w:val="17"/>
          <w:szCs w:val="17"/>
          <w:color w:val="333333"/>
          <w:spacing w:val="45"/>
          <w:w w:val="101"/>
        </w:rPr>
        <w:t> </w:t>
      </w:r>
      <w:r>
        <w:rPr>
          <w:rFonts w:ascii="SimSun" w:hAnsi="SimSun" w:eastAsia="SimSun" w:cs="SimSun"/>
          <w:sz w:val="17"/>
          <w:szCs w:val="17"/>
          <w:color w:val="333333"/>
        </w:rPr>
        <w:t>深化国际学术交</w:t>
      </w:r>
      <w:r>
        <w:rPr>
          <w:rFonts w:ascii="SimSun" w:hAnsi="SimSun" w:eastAsia="SimSun" w:cs="SimSun"/>
          <w:sz w:val="17"/>
          <w:szCs w:val="17"/>
          <w:color w:val="333333"/>
        </w:rPr>
        <w:t> </w:t>
      </w:r>
      <w:r>
        <w:rPr>
          <w:rFonts w:ascii="SimSun" w:hAnsi="SimSun" w:eastAsia="SimSun" w:cs="SimSun"/>
          <w:sz w:val="17"/>
          <w:szCs w:val="17"/>
          <w:color w:val="333333"/>
        </w:rPr>
        <w:t>流，全面提升中国会计的国际影响力；</w:t>
      </w:r>
      <w:r>
        <w:rPr>
          <w:rFonts w:ascii="SimSun" w:hAnsi="SimSun" w:eastAsia="SimSun" w:cs="SimSun"/>
          <w:sz w:val="17"/>
          <w:szCs w:val="17"/>
          <w:color w:val="333333"/>
          <w:spacing w:val="62"/>
          <w:w w:val="101"/>
        </w:rPr>
        <w:t> </w:t>
      </w:r>
      <w:r>
        <w:rPr>
          <w:rFonts w:ascii="SimSun" w:hAnsi="SimSun" w:eastAsia="SimSun" w:cs="SimSun"/>
          <w:sz w:val="17"/>
          <w:szCs w:val="17"/>
          <w:color w:val="333333"/>
        </w:rPr>
        <w:t>加强会计人才培养，发挥高端会计人才智力优势。这一系列要求为新发展阶段的会计理论与</w:t>
      </w:r>
      <w:r>
        <w:rPr>
          <w:rFonts w:ascii="SimSun" w:hAnsi="SimSun" w:eastAsia="SimSun" w:cs="SimSun"/>
          <w:sz w:val="17"/>
          <w:szCs w:val="17"/>
          <w:color w:val="333333"/>
        </w:rPr>
        <w:t> </w:t>
      </w:r>
      <w:r>
        <w:rPr>
          <w:rFonts w:ascii="SimSun" w:hAnsi="SimSun" w:eastAsia="SimSun" w:cs="SimSun"/>
          <w:sz w:val="17"/>
          <w:szCs w:val="17"/>
          <w:color w:val="333333"/>
          <w:spacing w:val="1"/>
        </w:rPr>
        <w:t>实务研究、会计学术国际交流工作指明了方向，并提供了政策指导。</w:t>
      </w:r>
    </w:p>
    <w:p>
      <w:pPr>
        <w:ind w:firstLine="1391"/>
        <w:spacing w:before="107" w:line="187" w:lineRule="auto"/>
        <w:rPr>
          <w:rFonts w:ascii="SimSun" w:hAnsi="SimSun" w:eastAsia="SimSun" w:cs="SimSun"/>
          <w:sz w:val="17"/>
          <w:szCs w:val="17"/>
        </w:rPr>
      </w:pPr>
      <w:r>
        <w:rPr>
          <w:rFonts w:ascii="SimSun" w:hAnsi="SimSun" w:eastAsia="SimSun" w:cs="SimSun"/>
          <w:sz w:val="17"/>
          <w:szCs w:val="17"/>
          <w:color w:val="333333"/>
          <w:spacing w:val="10"/>
        </w:rPr>
        <w:t>一、</w:t>
      </w:r>
      <w:r>
        <w:rPr>
          <w:rFonts w:ascii="SimSun" w:hAnsi="SimSun" w:eastAsia="SimSun" w:cs="SimSun"/>
          <w:sz w:val="17"/>
          <w:szCs w:val="17"/>
          <w:color w:val="333333"/>
          <w:spacing w:val="-56"/>
        </w:rPr>
        <w:t> </w:t>
      </w:r>
      <w:r>
        <w:rPr>
          <w:rFonts w:ascii="SimSun" w:hAnsi="SimSun" w:eastAsia="SimSun" w:cs="SimSun"/>
          <w:sz w:val="17"/>
          <w:szCs w:val="17"/>
          <w:color w:val="333333"/>
          <w:spacing w:val="10"/>
        </w:rPr>
        <w:t>“十三五”时期会计研究成果丰硕</w:t>
      </w:r>
    </w:p>
    <w:p>
      <w:pPr>
        <w:ind w:left="1046" w:right="1016" w:firstLine="332"/>
        <w:spacing w:before="237" w:line="327" w:lineRule="auto"/>
        <w:rPr>
          <w:rFonts w:ascii="SimSun" w:hAnsi="SimSun" w:eastAsia="SimSun" w:cs="SimSun"/>
          <w:sz w:val="17"/>
          <w:szCs w:val="17"/>
        </w:rPr>
      </w:pPr>
      <w:r>
        <w:rPr>
          <w:rFonts w:ascii="SimSun" w:hAnsi="SimSun" w:eastAsia="SimSun" w:cs="SimSun"/>
          <w:sz w:val="17"/>
          <w:szCs w:val="17"/>
          <w:color w:val="333333"/>
          <w:spacing w:val="2"/>
        </w:rPr>
        <w:t>“十三五”时期，我国会计研究工作以十八届五中全会、十九大和十九届历次全会精神为指引，推动理论创新和实务创新，在</w:t>
      </w:r>
      <w:r>
        <w:rPr>
          <w:rFonts w:ascii="SimSun" w:hAnsi="SimSun" w:eastAsia="SimSun" w:cs="SimSun"/>
          <w:sz w:val="17"/>
          <w:szCs w:val="17"/>
          <w:color w:val="333333"/>
          <w:spacing w:val="44"/>
        </w:rPr>
        <w:t> </w:t>
      </w:r>
      <w:r>
        <w:rPr>
          <w:rFonts w:ascii="SimSun" w:hAnsi="SimSun" w:eastAsia="SimSun" w:cs="SimSun"/>
          <w:sz w:val="17"/>
          <w:szCs w:val="17"/>
          <w:color w:val="333333"/>
        </w:rPr>
        <w:t>理论研究与成果转化、会计教育与人才培养等方面取得显著成效。</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（一）理论研究与实践运用的有机结合机制逐渐完善。</w:t>
      </w:r>
    </w:p>
    <w:p>
      <w:pPr>
        <w:ind w:left="1045" w:right="1016" w:firstLine="333"/>
        <w:spacing w:before="237" w:line="327" w:lineRule="auto"/>
        <w:rPr>
          <w:rFonts w:ascii="SimSun" w:hAnsi="SimSun" w:eastAsia="SimSun" w:cs="SimSun"/>
          <w:sz w:val="17"/>
          <w:szCs w:val="17"/>
        </w:rPr>
      </w:pPr>
      <w:r>
        <w:rPr>
          <w:rFonts w:ascii="SimSun" w:hAnsi="SimSun" w:eastAsia="SimSun" w:cs="SimSun"/>
          <w:sz w:val="17"/>
          <w:szCs w:val="17"/>
          <w:color w:val="333333"/>
          <w:spacing w:val="2"/>
        </w:rPr>
        <w:t>“十三五”时期，财政部立足中国国情，逐步完善理论研究与服务实践的有效结合机制，全面提升了理论成果转化效率，国家</w:t>
      </w:r>
      <w:r>
        <w:rPr>
          <w:rFonts w:ascii="SimSun" w:hAnsi="SimSun" w:eastAsia="SimSun" w:cs="SimSun"/>
          <w:sz w:val="17"/>
          <w:szCs w:val="17"/>
          <w:color w:val="333333"/>
          <w:spacing w:val="44"/>
        </w:rPr>
        <w:t> </w:t>
      </w:r>
      <w:r>
        <w:rPr>
          <w:rFonts w:ascii="SimSun" w:hAnsi="SimSun" w:eastAsia="SimSun" w:cs="SimSun"/>
          <w:sz w:val="17"/>
          <w:szCs w:val="17"/>
          <w:color w:val="333333"/>
          <w:spacing w:val="1"/>
        </w:rPr>
        <w:t>经济社会发展中与会计相关的重大问题理论攻关取得新突破，研究成果运用取得新成效。</w:t>
      </w:r>
    </w:p>
    <w:p>
      <w:pPr>
        <w:ind w:left="1046" w:right="1016" w:firstLine="345"/>
        <w:spacing w:before="108" w:line="327" w:lineRule="auto"/>
        <w:rPr>
          <w:rFonts w:ascii="SimSun" w:hAnsi="SimSun" w:eastAsia="SimSun" w:cs="SimSun"/>
          <w:sz w:val="17"/>
          <w:szCs w:val="17"/>
        </w:rPr>
      </w:pPr>
      <w:r>
        <w:rPr>
          <w:rFonts w:ascii="SimSun" w:hAnsi="SimSun" w:eastAsia="SimSun" w:cs="SimSun"/>
          <w:sz w:val="17"/>
          <w:szCs w:val="17"/>
          <w:color w:val="333333"/>
          <w:spacing w:val="2"/>
        </w:rPr>
        <w:t>一是贯彻“创新、协调、绿色、开放、共享”五大发展理念，组织开展重点领域会计理论研究，形成系列研究成果，为主管机</w:t>
      </w:r>
      <w:r>
        <w:rPr>
          <w:rFonts w:ascii="SimSun" w:hAnsi="SimSun" w:eastAsia="SimSun" w:cs="SimSun"/>
          <w:sz w:val="17"/>
          <w:szCs w:val="17"/>
          <w:color w:val="333333"/>
          <w:spacing w:val="30"/>
        </w:rPr>
        <w:t> </w:t>
      </w:r>
      <w:r>
        <w:rPr>
          <w:rFonts w:ascii="SimSun" w:hAnsi="SimSun" w:eastAsia="SimSun" w:cs="SimSun"/>
          <w:sz w:val="17"/>
          <w:szCs w:val="17"/>
          <w:color w:val="333333"/>
          <w:spacing w:val="-1"/>
        </w:rPr>
        <w:t>关开展相关工作提供了有益参考。</w:t>
      </w:r>
    </w:p>
    <w:p>
      <w:pPr>
        <w:ind w:left="1043"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二是根据“四个全面”战略布局要求，围绕会计法治、</w:t>
      </w:r>
      <w:r>
        <w:rPr>
          <w:rFonts w:ascii="SimSun" w:hAnsi="SimSun" w:eastAsia="SimSun" w:cs="SimSun"/>
          <w:sz w:val="17"/>
          <w:szCs w:val="17"/>
          <w:color w:val="333333"/>
          <w:spacing w:val="-55"/>
        </w:rPr>
        <w:t> </w:t>
      </w:r>
      <w:r>
        <w:rPr>
          <w:rFonts w:ascii="SimSun" w:hAnsi="SimSun" w:eastAsia="SimSun" w:cs="SimSun"/>
          <w:sz w:val="17"/>
          <w:szCs w:val="17"/>
          <w:color w:val="333333"/>
          <w:spacing w:val="2"/>
        </w:rPr>
        <w:t>“一带一路”建设、脱贫与资金绩效、治理体系和治理能力现代化相关</w:t>
      </w:r>
      <w:r>
        <w:rPr>
          <w:rFonts w:ascii="SimSun" w:hAnsi="SimSun" w:eastAsia="SimSun" w:cs="SimSun"/>
          <w:sz w:val="17"/>
          <w:szCs w:val="17"/>
          <w:color w:val="333333"/>
        </w:rPr>
        <w:t> </w:t>
      </w:r>
      <w:r>
        <w:rPr>
          <w:rFonts w:ascii="SimSun" w:hAnsi="SimSun" w:eastAsia="SimSun" w:cs="SimSun"/>
          <w:sz w:val="17"/>
          <w:szCs w:val="17"/>
          <w:color w:val="333333"/>
        </w:rPr>
        <w:t>会计问题等主题，组织团队开展研究，形成了《</w:t>
      </w:r>
      <w:r>
        <w:rPr>
          <w:rFonts w:ascii="SimSun" w:hAnsi="SimSun" w:eastAsia="SimSun" w:cs="SimSun"/>
          <w:sz w:val="17"/>
          <w:szCs w:val="17"/>
          <w:color w:val="333333"/>
          <w:spacing w:val="-38"/>
        </w:rPr>
        <w:t> </w:t>
      </w:r>
      <w:r>
        <w:rPr>
          <w:rFonts w:ascii="SimSun" w:hAnsi="SimSun" w:eastAsia="SimSun" w:cs="SimSun"/>
          <w:sz w:val="17"/>
          <w:szCs w:val="17"/>
          <w:color w:val="333333"/>
        </w:rPr>
        <w:t>“一带一路”建设相关会计问题调研报告》</w:t>
      </w:r>
      <w:r>
        <w:rPr>
          <w:rFonts w:ascii="SimSun" w:hAnsi="SimSun" w:eastAsia="SimSun" w:cs="SimSun"/>
          <w:sz w:val="17"/>
          <w:szCs w:val="17"/>
          <w:color w:val="333333"/>
          <w:spacing w:val="17"/>
        </w:rPr>
        <w:t> </w:t>
      </w:r>
      <w:r>
        <w:rPr>
          <w:rFonts w:ascii="SimSun" w:hAnsi="SimSun" w:eastAsia="SimSun" w:cs="SimSun"/>
          <w:sz w:val="17"/>
          <w:szCs w:val="17"/>
          <w:color w:val="333333"/>
        </w:rPr>
        <w:t>等系列成果，为会计行业主管部门完善</w:t>
      </w:r>
      <w:r>
        <w:rPr>
          <w:rFonts w:ascii="SimSun" w:hAnsi="SimSun" w:eastAsia="SimSun" w:cs="SimSun"/>
          <w:sz w:val="17"/>
          <w:szCs w:val="17"/>
          <w:color w:val="333333"/>
        </w:rPr>
        <w:t> </w:t>
      </w:r>
      <w:r>
        <w:rPr>
          <w:rFonts w:ascii="SimSun" w:hAnsi="SimSun" w:eastAsia="SimSun" w:cs="SimSun"/>
          <w:sz w:val="17"/>
          <w:szCs w:val="17"/>
          <w:color w:val="333333"/>
          <w:spacing w:val="-1"/>
        </w:rPr>
        <w:t>法规制度提供决策参考。</w:t>
      </w:r>
    </w:p>
    <w:p>
      <w:pPr>
        <w:ind w:left="1044" w:right="1016" w:firstLine="344"/>
        <w:spacing w:before="108" w:line="327" w:lineRule="auto"/>
        <w:rPr>
          <w:rFonts w:ascii="SimSun" w:hAnsi="SimSun" w:eastAsia="SimSun" w:cs="SimSun"/>
          <w:sz w:val="17"/>
          <w:szCs w:val="17"/>
        </w:rPr>
      </w:pPr>
      <w:r>
        <w:rPr>
          <w:rFonts w:ascii="SimSun" w:hAnsi="SimSun" w:eastAsia="SimSun" w:cs="SimSun"/>
          <w:sz w:val="17"/>
          <w:szCs w:val="17"/>
          <w:color w:val="333333"/>
          <w:spacing w:val="2"/>
        </w:rPr>
        <w:t>三是推动行业建设，加强财会监督相关研究。针对市场体系和监管体系培育完善过程中出现的新情况新问题，系统梳理近年来</w:t>
      </w:r>
      <w:r>
        <w:rPr>
          <w:rFonts w:ascii="SimSun" w:hAnsi="SimSun" w:eastAsia="SimSun" w:cs="SimSun"/>
          <w:sz w:val="17"/>
          <w:szCs w:val="17"/>
          <w:color w:val="333333"/>
          <w:spacing w:val="33"/>
        </w:rPr>
        <w:t> </w:t>
      </w:r>
      <w:r>
        <w:rPr>
          <w:rFonts w:ascii="SimSun" w:hAnsi="SimSun" w:eastAsia="SimSun" w:cs="SimSun"/>
          <w:sz w:val="17"/>
          <w:szCs w:val="17"/>
          <w:color w:val="333333"/>
          <w:spacing w:val="-1"/>
        </w:rPr>
        <w:t>财务造假典型案例及相关法律制度，从企业和会计师事务所两类主体入手，结合《会计法》</w:t>
      </w:r>
      <w:r>
        <w:rPr>
          <w:rFonts w:ascii="SimSun" w:hAnsi="SimSun" w:eastAsia="SimSun" w:cs="SimSun"/>
          <w:sz w:val="17"/>
          <w:szCs w:val="17"/>
          <w:color w:val="333333"/>
          <w:spacing w:val="35"/>
        </w:rPr>
        <w:t> </w:t>
      </w:r>
      <w:r>
        <w:rPr>
          <w:rFonts w:ascii="SimSun" w:hAnsi="SimSun" w:eastAsia="SimSun" w:cs="SimSun"/>
          <w:sz w:val="17"/>
          <w:szCs w:val="17"/>
          <w:color w:val="333333"/>
          <w:spacing w:val="-1"/>
        </w:rPr>
        <w:t>和《注册会计师法》</w:t>
      </w:r>
      <w:r>
        <w:rPr>
          <w:rFonts w:ascii="SimSun" w:hAnsi="SimSun" w:eastAsia="SimSun" w:cs="SimSun"/>
          <w:sz w:val="17"/>
          <w:szCs w:val="17"/>
          <w:color w:val="333333"/>
        </w:rPr>
        <w:t> </w:t>
      </w:r>
      <w:r>
        <w:rPr>
          <w:rFonts w:ascii="SimSun" w:hAnsi="SimSun" w:eastAsia="SimSun" w:cs="SimSun"/>
          <w:sz w:val="17"/>
          <w:szCs w:val="17"/>
          <w:color w:val="333333"/>
          <w:spacing w:val="-1"/>
        </w:rPr>
        <w:t>修订需要，组织学</w:t>
      </w:r>
      <w:r>
        <w:rPr>
          <w:rFonts w:ascii="SimSun" w:hAnsi="SimSun" w:eastAsia="SimSun" w:cs="SimSun"/>
          <w:sz w:val="17"/>
          <w:szCs w:val="17"/>
          <w:color w:val="333333"/>
        </w:rPr>
        <w:t> </w:t>
      </w:r>
      <w:r>
        <w:rPr>
          <w:rFonts w:ascii="SimSun" w:hAnsi="SimSun" w:eastAsia="SimSun" w:cs="SimSun"/>
          <w:sz w:val="17"/>
          <w:szCs w:val="17"/>
          <w:color w:val="333333"/>
          <w:spacing w:val="1"/>
        </w:rPr>
        <w:t>术力量开展系统研究，为做好顶层制度建设、发挥监管部门职责作用，进行科学论证。</w:t>
      </w:r>
    </w:p>
    <w:p>
      <w:pPr>
        <w:ind w:left="1045" w:right="1016" w:firstLine="360"/>
        <w:spacing w:before="108" w:line="327" w:lineRule="auto"/>
        <w:rPr>
          <w:rFonts w:ascii="SimSun" w:hAnsi="SimSun" w:eastAsia="SimSun" w:cs="SimSun"/>
          <w:sz w:val="17"/>
          <w:szCs w:val="17"/>
        </w:rPr>
      </w:pPr>
      <w:r>
        <w:rPr>
          <w:rFonts w:ascii="SimSun" w:hAnsi="SimSun" w:eastAsia="SimSun" w:cs="SimSun"/>
          <w:sz w:val="17"/>
          <w:szCs w:val="17"/>
          <w:color w:val="333333"/>
          <w:spacing w:val="2"/>
        </w:rPr>
        <w:t>四是开展“金砖国家会计趋同、等效与监管”专题研究，为金砖国家会计合作机制及会计准则趋同等效等相关问题提供智力服</w:t>
      </w:r>
      <w:r>
        <w:rPr>
          <w:rFonts w:ascii="SimSun" w:hAnsi="SimSun" w:eastAsia="SimSun" w:cs="SimSun"/>
          <w:sz w:val="17"/>
          <w:szCs w:val="17"/>
          <w:color w:val="333333"/>
          <w:spacing w:val="17"/>
        </w:rPr>
        <w:t> </w:t>
      </w:r>
      <w:r>
        <w:rPr>
          <w:rFonts w:ascii="SimSun" w:hAnsi="SimSun" w:eastAsia="SimSun" w:cs="SimSun"/>
          <w:sz w:val="17"/>
          <w:szCs w:val="17"/>
          <w:color w:val="333333"/>
          <w:spacing w:val="-8"/>
        </w:rPr>
        <w:t>务。</w:t>
      </w:r>
    </w:p>
    <w:p>
      <w:pPr>
        <w:ind w:left="1048" w:right="1016" w:firstLine="344"/>
        <w:spacing w:before="108" w:line="327" w:lineRule="auto"/>
        <w:rPr>
          <w:rFonts w:ascii="SimSun" w:hAnsi="SimSun" w:eastAsia="SimSun" w:cs="SimSun"/>
          <w:sz w:val="17"/>
          <w:szCs w:val="17"/>
        </w:rPr>
      </w:pPr>
      <w:r>
        <w:rPr>
          <w:rFonts w:ascii="SimSun" w:hAnsi="SimSun" w:eastAsia="SimSun" w:cs="SimSun"/>
          <w:sz w:val="17"/>
          <w:szCs w:val="17"/>
          <w:color w:val="333333"/>
          <w:spacing w:val="2"/>
        </w:rPr>
        <w:t>五是加强与高校、研究机构的交流，实现政、产、研、学的有机结合，完成了“中国内部控制研究中心”“中国企业营运资金</w:t>
      </w:r>
      <w:r>
        <w:rPr>
          <w:rFonts w:ascii="SimSun" w:hAnsi="SimSun" w:eastAsia="SimSun" w:cs="SimSun"/>
          <w:sz w:val="17"/>
          <w:szCs w:val="17"/>
          <w:color w:val="333333"/>
          <w:spacing w:val="30"/>
        </w:rPr>
        <w:t> </w:t>
      </w:r>
      <w:r>
        <w:rPr>
          <w:rFonts w:ascii="SimSun" w:hAnsi="SimSun" w:eastAsia="SimSun" w:cs="SimSun"/>
          <w:sz w:val="17"/>
          <w:szCs w:val="17"/>
          <w:color w:val="333333"/>
          <w:spacing w:val="1"/>
        </w:rPr>
        <w:t>管理研究中心”研究工作，发布了“中国上市公司营运资金管理调查”年度报告。</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（二）高层次学术人才队伍持续壮大。</w:t>
      </w:r>
    </w:p>
    <w:p>
      <w:pPr>
        <w:ind w:firstLine="1389"/>
        <w:spacing w:before="237" w:line="187" w:lineRule="auto"/>
        <w:rPr>
          <w:rFonts w:ascii="SimSun" w:hAnsi="SimSun" w:eastAsia="SimSun" w:cs="SimSun"/>
          <w:sz w:val="17"/>
          <w:szCs w:val="17"/>
        </w:rPr>
      </w:pPr>
      <w:r>
        <w:rPr>
          <w:rFonts w:ascii="SimSun" w:hAnsi="SimSun" w:eastAsia="SimSun" w:cs="SimSun"/>
          <w:sz w:val="17"/>
          <w:szCs w:val="17"/>
          <w:color w:val="333333"/>
          <w:spacing w:val="1"/>
        </w:rPr>
        <w:t>财政部组织实施高层次会计人才工程，为“十三五”会计理论研究夯实了高端学术人才基础。</w:t>
      </w:r>
    </w:p>
    <w:p>
      <w:pPr>
        <w:ind w:firstLine="1392"/>
        <w:spacing w:before="237" w:line="187" w:lineRule="auto"/>
        <w:rPr>
          <w:rFonts w:ascii="SimSun" w:hAnsi="SimSun" w:eastAsia="SimSun" w:cs="SimSun"/>
          <w:sz w:val="17"/>
          <w:szCs w:val="17"/>
        </w:rPr>
      </w:pPr>
      <w:r>
        <w:rPr>
          <w:rFonts w:ascii="SimSun" w:hAnsi="SimSun" w:eastAsia="SimSun" w:cs="SimSun"/>
          <w:sz w:val="17"/>
          <w:szCs w:val="17"/>
          <w:color w:val="333333"/>
          <w:spacing w:val="1"/>
        </w:rPr>
        <w:t>一是组织全国高端会计人才（学术类）</w:t>
      </w:r>
      <w:r>
        <w:rPr>
          <w:rFonts w:ascii="SimSun" w:hAnsi="SimSun" w:eastAsia="SimSun" w:cs="SimSun"/>
          <w:sz w:val="17"/>
          <w:szCs w:val="17"/>
          <w:color w:val="333333"/>
          <w:spacing w:val="-5"/>
        </w:rPr>
        <w:t> </w:t>
      </w:r>
      <w:r>
        <w:rPr>
          <w:rFonts w:ascii="SimSun" w:hAnsi="SimSun" w:eastAsia="SimSun" w:cs="SimSun"/>
          <w:sz w:val="17"/>
          <w:szCs w:val="17"/>
          <w:color w:val="333333"/>
          <w:spacing w:val="1"/>
        </w:rPr>
        <w:t>选拔培养工作，</w:t>
      </w:r>
      <w:r>
        <w:rPr>
          <w:rFonts w:ascii="SimSun" w:hAnsi="SimSun" w:eastAsia="SimSun" w:cs="SimSun"/>
          <w:sz w:val="17"/>
          <w:szCs w:val="17"/>
          <w:color w:val="333333"/>
          <w:spacing w:val="-81"/>
        </w:rPr>
        <w:t> </w:t>
      </w:r>
      <w:r>
        <w:rPr>
          <w:rFonts w:ascii="SimSun" w:hAnsi="SimSun" w:eastAsia="SimSun" w:cs="SimSun"/>
          <w:sz w:val="17"/>
          <w:szCs w:val="17"/>
          <w:color w:val="333333"/>
          <w:spacing w:val="1"/>
        </w:rPr>
        <w:t>“十三五”时期共选拔62位学员，开展集中培训、项目支持、主题行动</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rPr>
        <w:t>等培养工作，为会计改革发展输送中青年骨干人才。</w:t>
      </w:r>
    </w:p>
    <w:p>
      <w:pPr>
        <w:ind w:left="1048" w:right="1016" w:firstLine="343"/>
        <w:spacing w:before="237" w:line="327" w:lineRule="auto"/>
        <w:rPr>
          <w:rFonts w:ascii="SimSun" w:hAnsi="SimSun" w:eastAsia="SimSun" w:cs="SimSun"/>
          <w:sz w:val="17"/>
          <w:szCs w:val="17"/>
        </w:rPr>
      </w:pPr>
      <w:r>
        <w:rPr>
          <w:rFonts w:ascii="SimSun" w:hAnsi="SimSun" w:eastAsia="SimSun" w:cs="SimSun"/>
          <w:sz w:val="17"/>
          <w:szCs w:val="17"/>
          <w:color w:val="333333"/>
          <w:spacing w:val="2"/>
        </w:rPr>
        <w:t>二是积极推进会计名家培养工程相关工作，选拔40位会计名家培养对象，提高会计名家工程的工作质量和学术影响，充分发挥</w:t>
      </w:r>
      <w:r>
        <w:rPr>
          <w:rFonts w:ascii="SimSun" w:hAnsi="SimSun" w:eastAsia="SimSun" w:cs="SimSun"/>
          <w:sz w:val="17"/>
          <w:szCs w:val="17"/>
          <w:color w:val="333333"/>
          <w:spacing w:val="28"/>
        </w:rPr>
        <w:t> </w:t>
      </w:r>
      <w:r>
        <w:rPr>
          <w:rFonts w:ascii="SimSun" w:hAnsi="SimSun" w:eastAsia="SimSun" w:cs="SimSun"/>
          <w:sz w:val="17"/>
          <w:szCs w:val="17"/>
          <w:color w:val="333333"/>
          <w:spacing w:val="1"/>
        </w:rPr>
        <w:t>高层次学术人才项目在会计人才队伍建设中的“高端引领、整体开发”作用。</w:t>
      </w:r>
    </w:p>
    <w:p>
      <w:pPr>
        <w:ind w:left="1043" w:right="1016" w:firstLine="346"/>
        <w:spacing w:before="108" w:line="327" w:lineRule="auto"/>
        <w:rPr>
          <w:rFonts w:ascii="SimSun" w:hAnsi="SimSun" w:eastAsia="SimSun" w:cs="SimSun"/>
          <w:sz w:val="17"/>
          <w:szCs w:val="17"/>
        </w:rPr>
      </w:pPr>
      <w:r>
        <w:rPr>
          <w:rFonts w:ascii="SimSun" w:hAnsi="SimSun" w:eastAsia="SimSun" w:cs="SimSun"/>
          <w:sz w:val="17"/>
          <w:szCs w:val="17"/>
          <w:color w:val="333333"/>
          <w:spacing w:val="2"/>
        </w:rPr>
        <w:t>三是创新工作方式，举办会计骨干人才培训班。围绕会计改革发展和社会的需求，根据会计相关工作重点、难点、热点问题，</w:t>
      </w:r>
      <w:r>
        <w:rPr>
          <w:rFonts w:ascii="SimSun" w:hAnsi="SimSun" w:eastAsia="SimSun" w:cs="SimSun"/>
          <w:sz w:val="17"/>
          <w:szCs w:val="17"/>
          <w:color w:val="333333"/>
          <w:spacing w:val="33"/>
        </w:rPr>
        <w:t> </w:t>
      </w:r>
      <w:r>
        <w:rPr>
          <w:rFonts w:ascii="SimSun" w:hAnsi="SimSun" w:eastAsia="SimSun" w:cs="SimSun"/>
          <w:sz w:val="17"/>
          <w:szCs w:val="17"/>
          <w:color w:val="333333"/>
          <w:spacing w:val="-2"/>
        </w:rPr>
        <w:t>探索分行业、分领域、分层次的精准培训，努力提高培训班办学质量；</w:t>
      </w:r>
      <w:r>
        <w:rPr>
          <w:rFonts w:ascii="SimSun" w:hAnsi="SimSun" w:eastAsia="SimSun" w:cs="SimSun"/>
          <w:sz w:val="17"/>
          <w:szCs w:val="17"/>
          <w:color w:val="333333"/>
          <w:spacing w:val="49"/>
          <w:w w:val="101"/>
        </w:rPr>
        <w:t> </w:t>
      </w:r>
      <w:r>
        <w:rPr>
          <w:rFonts w:ascii="SimSun" w:hAnsi="SimSun" w:eastAsia="SimSun" w:cs="SimSun"/>
          <w:sz w:val="17"/>
          <w:szCs w:val="17"/>
          <w:color w:val="333333"/>
          <w:spacing w:val="-2"/>
        </w:rPr>
        <w:t>探索开展线上线下融合发展的专业培训新路径和新模式；</w:t>
      </w:r>
      <w:r>
        <w:rPr>
          <w:rFonts w:ascii="SimSun" w:hAnsi="SimSun" w:eastAsia="SimSun" w:cs="SimSun"/>
          <w:sz w:val="17"/>
          <w:szCs w:val="17"/>
          <w:color w:val="333333"/>
          <w:spacing w:val="43"/>
        </w:rPr>
        <w:t> </w:t>
      </w:r>
      <w:r>
        <w:rPr>
          <w:rFonts w:ascii="SimSun" w:hAnsi="SimSun" w:eastAsia="SimSun" w:cs="SimSun"/>
          <w:sz w:val="17"/>
          <w:szCs w:val="17"/>
          <w:color w:val="333333"/>
          <w:spacing w:val="-2"/>
        </w:rPr>
        <w:t>进</w:t>
      </w:r>
      <w:r>
        <w:rPr>
          <w:rFonts w:ascii="SimSun" w:hAnsi="SimSun" w:eastAsia="SimSun" w:cs="SimSun"/>
          <w:sz w:val="17"/>
          <w:szCs w:val="17"/>
          <w:color w:val="333333"/>
        </w:rPr>
        <w:t> </w:t>
      </w:r>
      <w:r>
        <w:rPr>
          <w:rFonts w:ascii="SimSun" w:hAnsi="SimSun" w:eastAsia="SimSun" w:cs="SimSun"/>
          <w:sz w:val="17"/>
          <w:szCs w:val="17"/>
          <w:color w:val="333333"/>
        </w:rPr>
        <w:t>一步完善网站系统相关功能，提高人才培训工作效率。</w:t>
      </w:r>
    </w:p>
    <w:p>
      <w:pPr>
        <w:spacing w:line="478"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kjs.mof.gov.cn/zhengcejiedu/202204/t20220421_3804563.htm</w:t>
      </w:r>
      <w:r>
        <w:rPr>
          <w:rFonts w:ascii="Arial" w:hAnsi="Arial" w:eastAsia="Arial" w:cs="Arial"/>
          <w:sz w:val="16"/>
          <w:szCs w:val="16"/>
        </w:rPr>
        <w:t>                                                                                                                                            </w:t>
      </w:r>
      <w:r>
        <w:rPr>
          <w:rFonts w:ascii="Arial" w:hAnsi="Arial" w:eastAsia="Arial" w:cs="Arial"/>
          <w:sz w:val="16"/>
          <w:szCs w:val="16"/>
          <w:spacing w:val="-1"/>
        </w:rPr>
        <w:t>1/5</w:t>
      </w:r>
    </w:p>
    <w:p>
      <w:pPr>
        <w:sectPr>
          <w:type w:val="continuous"/>
          <w:pgSz w:w="11900" w:h="16839"/>
          <w:pgMar w:top="0" w:right="0" w:bottom="0" w:left="0" w:header="0" w:footer="0" w:gutter="0"/>
          <w:cols w:equalWidth="0" w:num="1">
            <w:col w:w="11900" w:space="0"/>
          </w:cols>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1"/>
          <w:position w:val="1"/>
        </w:rPr>
        <w:t>                                 </w:t>
      </w:r>
      <w:r>
        <w:rPr>
          <w:rFonts w:ascii="Microsoft YaHei" w:hAnsi="Microsoft YaHei" w:eastAsia="Microsoft YaHei" w:cs="Microsoft YaHei"/>
          <w:sz w:val="16"/>
          <w:szCs w:val="16"/>
          <w:spacing w:val="-2"/>
        </w:rPr>
        <w:t>加强会计理论与实务研究</w:t>
      </w:r>
      <w:r>
        <w:rPr>
          <w:rFonts w:ascii="Microsoft YaHei" w:hAnsi="Microsoft YaHei" w:eastAsia="Microsoft YaHei" w:cs="Microsoft YaHei"/>
          <w:sz w:val="16"/>
          <w:szCs w:val="16"/>
          <w:spacing w:val="6"/>
        </w:rPr>
        <w:t>      </w:t>
      </w:r>
      <w:r>
        <w:rPr>
          <w:rFonts w:ascii="Microsoft YaHei" w:hAnsi="Microsoft YaHei" w:eastAsia="Microsoft YaHei" w:cs="Microsoft YaHei"/>
          <w:sz w:val="16"/>
          <w:szCs w:val="16"/>
          <w:spacing w:val="-2"/>
        </w:rPr>
        <w:t>推动经济社会高质量发展</w:t>
      </w:r>
      <w:r>
        <w:rPr>
          <w:rFonts w:ascii="Arial" w:hAnsi="Arial" w:eastAsia="Arial" w:cs="Arial"/>
          <w:sz w:val="16"/>
          <w:szCs w:val="16"/>
          <w:spacing w:val="-2"/>
        </w:rPr>
        <w:t>——</w:t>
      </w:r>
      <w:r>
        <w:rPr>
          <w:rFonts w:ascii="Arial" w:hAnsi="Arial" w:eastAsia="Arial" w:cs="Arial"/>
          <w:sz w:val="16"/>
          <w:szCs w:val="16"/>
          <w:spacing w:val="34"/>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规划纲要》系列解读之十</w:t>
      </w:r>
    </w:p>
    <w:p>
      <w:pPr>
        <w:ind w:firstLine="1412"/>
        <w:spacing w:before="135" w:line="187" w:lineRule="auto"/>
        <w:rPr>
          <w:rFonts w:ascii="SimSun" w:hAnsi="SimSun" w:eastAsia="SimSun" w:cs="SimSun"/>
          <w:sz w:val="17"/>
          <w:szCs w:val="17"/>
        </w:rPr>
      </w:pPr>
      <w:r>
        <w:rPr>
          <w:rFonts w:ascii="SimSun" w:hAnsi="SimSun" w:eastAsia="SimSun" w:cs="SimSun"/>
          <w:sz w:val="17"/>
          <w:szCs w:val="17"/>
          <w:color w:val="333333"/>
          <w:spacing w:val="5"/>
        </w:rPr>
        <w:t>四是支持资助学术人才脱颖而出，激发学术创新活力。切实做好我国会计领域第一个奖学金——“杨纪琬奖学金”的征选评</w:t>
      </w:r>
    </w:p>
    <w:p>
      <w:pPr>
        <w:ind w:left="1045" w:right="1016" w:hanging="2"/>
        <w:spacing w:before="129" w:line="327" w:lineRule="auto"/>
        <w:rPr>
          <w:rFonts w:ascii="SimSun" w:hAnsi="SimSun" w:eastAsia="SimSun" w:cs="SimSun"/>
          <w:sz w:val="17"/>
          <w:szCs w:val="17"/>
        </w:rPr>
      </w:pPr>
      <w:r>
        <w:rPr>
          <w:rFonts w:ascii="SimSun" w:hAnsi="SimSun" w:eastAsia="SimSun" w:cs="SimSun"/>
          <w:sz w:val="17"/>
          <w:szCs w:val="17"/>
          <w:color w:val="333333"/>
          <w:spacing w:val="2"/>
        </w:rPr>
        <w:t>选，激励全国会计理论工作者，尤其是青年才俊继承和弘扬老一辈会计学家严谨的治学精神，促进我国会计理论研究的繁荣和会计</w:t>
      </w:r>
      <w:r>
        <w:rPr>
          <w:rFonts w:ascii="SimSun" w:hAnsi="SimSun" w:eastAsia="SimSun" w:cs="SimSun"/>
          <w:sz w:val="17"/>
          <w:szCs w:val="17"/>
          <w:color w:val="333333"/>
          <w:spacing w:val="35"/>
        </w:rPr>
        <w:t> </w:t>
      </w:r>
      <w:r>
        <w:rPr>
          <w:rFonts w:ascii="SimSun" w:hAnsi="SimSun" w:eastAsia="SimSun" w:cs="SimSun"/>
          <w:sz w:val="17"/>
          <w:szCs w:val="17"/>
          <w:color w:val="333333"/>
          <w:spacing w:val="-3"/>
        </w:rPr>
        <w:t>人才的培养。</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（三）经济社会发展相关重大问题研究取得新进展。</w:t>
      </w:r>
    </w:p>
    <w:p>
      <w:pPr>
        <w:ind w:left="1044" w:right="1016" w:firstLine="346"/>
        <w:spacing w:before="237" w:line="327" w:lineRule="auto"/>
        <w:rPr>
          <w:rFonts w:ascii="SimSun" w:hAnsi="SimSun" w:eastAsia="SimSun" w:cs="SimSun"/>
          <w:sz w:val="17"/>
          <w:szCs w:val="17"/>
        </w:rPr>
      </w:pPr>
      <w:r>
        <w:rPr>
          <w:rFonts w:ascii="SimSun" w:hAnsi="SimSun" w:eastAsia="SimSun" w:cs="SimSun"/>
          <w:sz w:val="17"/>
          <w:szCs w:val="17"/>
          <w:color w:val="333333"/>
          <w:spacing w:val="2"/>
        </w:rPr>
        <w:t>从会计管理部门与实务界的需求出发，聚焦经济社会发展重大议题，组织全国会计科研力量开展理论攻关，积极建言献策，供</w:t>
      </w:r>
      <w:r>
        <w:rPr>
          <w:rFonts w:ascii="SimSun" w:hAnsi="SimSun" w:eastAsia="SimSun" w:cs="SimSun"/>
          <w:sz w:val="17"/>
          <w:szCs w:val="17"/>
          <w:color w:val="333333"/>
          <w:spacing w:val="31"/>
        </w:rPr>
        <w:t> </w:t>
      </w:r>
      <w:r>
        <w:rPr>
          <w:rFonts w:ascii="SimSun" w:hAnsi="SimSun" w:eastAsia="SimSun" w:cs="SimSun"/>
          <w:sz w:val="17"/>
          <w:szCs w:val="17"/>
          <w:color w:val="333333"/>
          <w:spacing w:val="-3"/>
        </w:rPr>
        <w:t>有关部门参考。</w:t>
      </w:r>
    </w:p>
    <w:p>
      <w:pPr>
        <w:ind w:left="1046" w:right="1016" w:firstLine="345"/>
        <w:spacing w:before="108" w:line="327" w:lineRule="auto"/>
        <w:rPr>
          <w:rFonts w:ascii="SimSun" w:hAnsi="SimSun" w:eastAsia="SimSun" w:cs="SimSun"/>
          <w:sz w:val="17"/>
          <w:szCs w:val="17"/>
        </w:rPr>
      </w:pPr>
      <w:r>
        <w:rPr>
          <w:rFonts w:ascii="SimSun" w:hAnsi="SimSun" w:eastAsia="SimSun" w:cs="SimSun"/>
          <w:sz w:val="17"/>
          <w:szCs w:val="17"/>
          <w:color w:val="333333"/>
          <w:spacing w:val="2"/>
        </w:rPr>
        <w:t>一是结合第四次科技革命成果，聚焦会计理论研究创新、数字化智能化与财务报告未来模式研究、管理会计理论变革与中国情</w:t>
      </w:r>
      <w:r>
        <w:rPr>
          <w:rFonts w:ascii="SimSun" w:hAnsi="SimSun" w:eastAsia="SimSun" w:cs="SimSun"/>
          <w:sz w:val="17"/>
          <w:szCs w:val="17"/>
          <w:color w:val="333333"/>
          <w:spacing w:val="30"/>
        </w:rPr>
        <w:t> </w:t>
      </w:r>
      <w:r>
        <w:rPr>
          <w:rFonts w:ascii="SimSun" w:hAnsi="SimSun" w:eastAsia="SimSun" w:cs="SimSun"/>
          <w:sz w:val="17"/>
          <w:szCs w:val="17"/>
          <w:color w:val="333333"/>
          <w:spacing w:val="4"/>
        </w:rPr>
        <w:t>景应用、新形势下会计类学科专业的融合与重构研究、智能财务建设与业财融合研究、高质量发展与高质量会计信息供给等6个重</w:t>
      </w:r>
      <w:r>
        <w:rPr>
          <w:rFonts w:ascii="SimSun" w:hAnsi="SimSun" w:eastAsia="SimSun" w:cs="SimSun"/>
          <w:sz w:val="17"/>
          <w:szCs w:val="17"/>
          <w:color w:val="333333"/>
          <w:spacing w:val="2"/>
          <w:w w:val="101"/>
        </w:rPr>
        <w:t> </w:t>
      </w:r>
      <w:r>
        <w:rPr>
          <w:rFonts w:ascii="SimSun" w:hAnsi="SimSun" w:eastAsia="SimSun" w:cs="SimSun"/>
          <w:sz w:val="17"/>
          <w:szCs w:val="17"/>
          <w:color w:val="333333"/>
        </w:rPr>
        <w:t>点领域，形成一批具有较高学术价值的科研成果。</w:t>
      </w:r>
    </w:p>
    <w:p>
      <w:pPr>
        <w:ind w:left="1045" w:right="1016" w:firstLine="346"/>
        <w:spacing w:before="107" w:line="327" w:lineRule="auto"/>
        <w:rPr>
          <w:rFonts w:ascii="SimSun" w:hAnsi="SimSun" w:eastAsia="SimSun" w:cs="SimSun"/>
          <w:sz w:val="17"/>
          <w:szCs w:val="17"/>
        </w:rPr>
      </w:pPr>
      <w:r>
        <w:rPr>
          <w:rFonts w:ascii="SimSun" w:hAnsi="SimSun" w:eastAsia="SimSun" w:cs="SimSun"/>
          <w:sz w:val="17"/>
          <w:szCs w:val="17"/>
          <w:color w:val="333333"/>
          <w:spacing w:val="2"/>
        </w:rPr>
        <w:t>二是聚焦国家“双碳”战略部署，引导学术界开展“双碳”战略相关会计问题研究，形成自然资源、碳排放等的会计核算研究</w:t>
      </w:r>
      <w:r>
        <w:rPr>
          <w:rFonts w:ascii="SimSun" w:hAnsi="SimSun" w:eastAsia="SimSun" w:cs="SimSun"/>
          <w:sz w:val="17"/>
          <w:szCs w:val="17"/>
          <w:color w:val="333333"/>
          <w:spacing w:val="30"/>
        </w:rPr>
        <w:t> </w:t>
      </w:r>
      <w:r>
        <w:rPr>
          <w:rFonts w:ascii="SimSun" w:hAnsi="SimSun" w:eastAsia="SimSun" w:cs="SimSun"/>
          <w:sz w:val="17"/>
          <w:szCs w:val="17"/>
          <w:color w:val="333333"/>
        </w:rPr>
        <w:t>成果，为国家相关决策提供科学依据。</w:t>
      </w:r>
    </w:p>
    <w:p>
      <w:pPr>
        <w:ind w:left="1044" w:right="1016" w:firstLine="344"/>
        <w:spacing w:before="108" w:line="327" w:lineRule="auto"/>
        <w:rPr>
          <w:rFonts w:ascii="SimSun" w:hAnsi="SimSun" w:eastAsia="SimSun" w:cs="SimSun"/>
          <w:sz w:val="17"/>
          <w:szCs w:val="17"/>
        </w:rPr>
      </w:pPr>
      <w:r>
        <w:rPr>
          <w:rFonts w:ascii="SimSun" w:hAnsi="SimSun" w:eastAsia="SimSun" w:cs="SimSun"/>
          <w:sz w:val="17"/>
          <w:szCs w:val="17"/>
          <w:color w:val="333333"/>
          <w:spacing w:val="2"/>
        </w:rPr>
        <w:t>三是立足“两个一百年”奋斗目标的历史交汇点，组织开展革命根据地会计研究，探索了新中国会计对革命根据地会计的传承</w:t>
      </w:r>
      <w:r>
        <w:rPr>
          <w:rFonts w:ascii="SimSun" w:hAnsi="SimSun" w:eastAsia="SimSun" w:cs="SimSun"/>
          <w:sz w:val="17"/>
          <w:szCs w:val="17"/>
          <w:color w:val="333333"/>
          <w:spacing w:val="33"/>
        </w:rPr>
        <w:t> </w:t>
      </w:r>
      <w:r>
        <w:rPr>
          <w:rFonts w:ascii="SimSun" w:hAnsi="SimSun" w:eastAsia="SimSun" w:cs="SimSun"/>
          <w:sz w:val="17"/>
          <w:szCs w:val="17"/>
          <w:color w:val="333333"/>
          <w:spacing w:val="1"/>
        </w:rPr>
        <w:t>和对接，为党史学习，特别是为全国财务会计人员的党史学习和红色传统教育，提供有专业适应性的资料。</w:t>
      </w:r>
    </w:p>
    <w:p>
      <w:pPr>
        <w:ind w:left="1045" w:right="1016" w:firstLine="360"/>
        <w:spacing w:before="108" w:line="327" w:lineRule="auto"/>
        <w:rPr>
          <w:rFonts w:ascii="SimSun" w:hAnsi="SimSun" w:eastAsia="SimSun" w:cs="SimSun"/>
          <w:sz w:val="17"/>
          <w:szCs w:val="17"/>
        </w:rPr>
      </w:pPr>
      <w:r>
        <w:rPr>
          <w:rFonts w:ascii="SimSun" w:hAnsi="SimSun" w:eastAsia="SimSun" w:cs="SimSun"/>
          <w:sz w:val="17"/>
          <w:szCs w:val="17"/>
          <w:color w:val="333333"/>
          <w:spacing w:val="2"/>
        </w:rPr>
        <w:t>四是争取全国哲学社会科学工作办公室支持，组织开展“重大公共卫生事件下的企业会计问题及其应对”等重大问题研究，形</w:t>
      </w:r>
      <w:r>
        <w:rPr>
          <w:rFonts w:ascii="SimSun" w:hAnsi="SimSun" w:eastAsia="SimSun" w:cs="SimSun"/>
          <w:sz w:val="17"/>
          <w:szCs w:val="17"/>
          <w:color w:val="333333"/>
          <w:spacing w:val="17"/>
        </w:rPr>
        <w:t> </w:t>
      </w:r>
      <w:r>
        <w:rPr>
          <w:rFonts w:ascii="SimSun" w:hAnsi="SimSun" w:eastAsia="SimSun" w:cs="SimSun"/>
          <w:sz w:val="17"/>
          <w:szCs w:val="17"/>
          <w:color w:val="333333"/>
        </w:rPr>
        <w:t>成丰硕成果，为疫情应对和推进有关工作提供会计解决方案。</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（四）多领域、多层次的学术活动全面推进。</w:t>
      </w:r>
    </w:p>
    <w:p>
      <w:pPr>
        <w:ind w:left="1044" w:right="1016" w:firstLine="345"/>
        <w:spacing w:before="237" w:line="327" w:lineRule="auto"/>
        <w:rPr>
          <w:rFonts w:ascii="SimSun" w:hAnsi="SimSun" w:eastAsia="SimSun" w:cs="SimSun"/>
          <w:sz w:val="17"/>
          <w:szCs w:val="17"/>
        </w:rPr>
      </w:pPr>
      <w:r>
        <w:rPr>
          <w:rFonts w:ascii="SimSun" w:hAnsi="SimSun" w:eastAsia="SimSun" w:cs="SimSun"/>
          <w:sz w:val="17"/>
          <w:szCs w:val="17"/>
          <w:color w:val="333333"/>
          <w:spacing w:val="2"/>
        </w:rPr>
        <w:t>财政部发挥中国会计学会的纽带作用，规范分支机构管理，开展各类学术年会、专题研讨会，不断丰富学术内容、提高学术交</w:t>
      </w:r>
      <w:r>
        <w:rPr>
          <w:rFonts w:ascii="SimSun" w:hAnsi="SimSun" w:eastAsia="SimSun" w:cs="SimSun"/>
          <w:sz w:val="17"/>
          <w:szCs w:val="17"/>
          <w:color w:val="333333"/>
          <w:spacing w:val="32"/>
        </w:rPr>
        <w:t> </w:t>
      </w:r>
      <w:r>
        <w:rPr>
          <w:rFonts w:ascii="SimSun" w:hAnsi="SimSun" w:eastAsia="SimSun" w:cs="SimSun"/>
          <w:sz w:val="17"/>
          <w:szCs w:val="17"/>
          <w:color w:val="333333"/>
          <w:spacing w:val="-5"/>
        </w:rPr>
        <w:t>流效果。</w:t>
      </w:r>
    </w:p>
    <w:p>
      <w:pPr>
        <w:ind w:left="1047" w:right="1016" w:firstLine="351"/>
        <w:spacing w:before="108" w:line="327" w:lineRule="auto"/>
        <w:rPr>
          <w:rFonts w:ascii="SimSun" w:hAnsi="SimSun" w:eastAsia="SimSun" w:cs="SimSun"/>
          <w:sz w:val="17"/>
          <w:szCs w:val="17"/>
        </w:rPr>
      </w:pPr>
      <w:r>
        <w:rPr>
          <w:rFonts w:ascii="SimSun" w:hAnsi="SimSun" w:eastAsia="SimSun" w:cs="SimSun"/>
          <w:sz w:val="17"/>
          <w:szCs w:val="17"/>
          <w:color w:val="333333"/>
          <w:spacing w:val="5"/>
        </w:rPr>
        <w:t>一是汇总专项课题成果、教学科研经验等进行专题报告，充分传播了理论研究形成的学术思想与理论贡献，推动会计学科体</w:t>
      </w:r>
      <w:r>
        <w:rPr>
          <w:rFonts w:ascii="SimSun" w:hAnsi="SimSun" w:eastAsia="SimSun" w:cs="SimSun"/>
          <w:sz w:val="17"/>
          <w:szCs w:val="17"/>
          <w:color w:val="333333"/>
          <w:spacing w:val="34"/>
        </w:rPr>
        <w:t> </w:t>
      </w:r>
      <w:r>
        <w:rPr>
          <w:rFonts w:ascii="SimSun" w:hAnsi="SimSun" w:eastAsia="SimSun" w:cs="SimSun"/>
          <w:sz w:val="17"/>
          <w:szCs w:val="17"/>
          <w:color w:val="333333"/>
          <w:spacing w:val="-1"/>
        </w:rPr>
        <w:t>系、理论体系、教材体系不断完善。</w:t>
      </w:r>
    </w:p>
    <w:p>
      <w:pPr>
        <w:ind w:left="1059" w:right="1016" w:firstLine="332"/>
        <w:spacing w:before="108" w:line="327" w:lineRule="auto"/>
        <w:rPr>
          <w:rFonts w:ascii="SimSun" w:hAnsi="SimSun" w:eastAsia="SimSun" w:cs="SimSun"/>
          <w:sz w:val="17"/>
          <w:szCs w:val="17"/>
        </w:rPr>
      </w:pPr>
      <w:r>
        <w:rPr>
          <w:rFonts w:ascii="SimSun" w:hAnsi="SimSun" w:eastAsia="SimSun" w:cs="SimSun"/>
          <w:sz w:val="17"/>
          <w:szCs w:val="17"/>
          <w:color w:val="333333"/>
          <w:spacing w:val="2"/>
        </w:rPr>
        <w:t>二是根据疫情防控要求和学术活动特点，创新学术活动组织机制和组织形式，开展线上线下相结合的学术交流，组织更广泛范</w:t>
      </w:r>
      <w:r>
        <w:rPr>
          <w:rFonts w:ascii="SimSun" w:hAnsi="SimSun" w:eastAsia="SimSun" w:cs="SimSun"/>
          <w:sz w:val="17"/>
          <w:szCs w:val="17"/>
          <w:color w:val="333333"/>
          <w:spacing w:val="30"/>
        </w:rPr>
        <w:t> </w:t>
      </w:r>
      <w:r>
        <w:rPr>
          <w:rFonts w:ascii="SimSun" w:hAnsi="SimSun" w:eastAsia="SimSun" w:cs="SimSun"/>
          <w:sz w:val="17"/>
          <w:szCs w:val="17"/>
          <w:color w:val="333333"/>
          <w:spacing w:val="-1"/>
        </w:rPr>
        <w:t>围的会计人员参与研讨，做实做精学术交流工作。</w:t>
      </w:r>
    </w:p>
    <w:p>
      <w:pPr>
        <w:ind w:left="1049" w:right="1055" w:firstLine="340"/>
        <w:spacing w:before="108" w:line="327" w:lineRule="auto"/>
        <w:rPr>
          <w:rFonts w:ascii="SimSun" w:hAnsi="SimSun" w:eastAsia="SimSun" w:cs="SimSun"/>
          <w:sz w:val="17"/>
          <w:szCs w:val="17"/>
        </w:rPr>
      </w:pPr>
      <w:r>
        <w:rPr>
          <w:rFonts w:ascii="SimSun" w:hAnsi="SimSun" w:eastAsia="SimSun" w:cs="SimSun"/>
          <w:sz w:val="17"/>
          <w:szCs w:val="17"/>
          <w:color w:val="333333"/>
          <w:spacing w:val="1"/>
        </w:rPr>
        <w:t>三是鼓励不同地区、行业和专业领域结合自身特点，组织开展特色鲜明的各类活动，引导青年学子积极参与，激发学术活力，</w:t>
      </w:r>
      <w:r>
        <w:rPr>
          <w:rFonts w:ascii="SimSun" w:hAnsi="SimSun" w:eastAsia="SimSun" w:cs="SimSun"/>
          <w:sz w:val="17"/>
          <w:szCs w:val="17"/>
          <w:color w:val="333333"/>
          <w:spacing w:val="48"/>
        </w:rPr>
        <w:t> </w:t>
      </w:r>
      <w:r>
        <w:rPr>
          <w:rFonts w:ascii="SimSun" w:hAnsi="SimSun" w:eastAsia="SimSun" w:cs="SimSun"/>
          <w:sz w:val="17"/>
          <w:szCs w:val="17"/>
          <w:color w:val="333333"/>
          <w:spacing w:val="-1"/>
        </w:rPr>
        <w:t>营造百花齐放、百家争鸣的学术氛围。</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（五）国际学术交流活动卓有成效。</w:t>
      </w:r>
    </w:p>
    <w:p>
      <w:pPr>
        <w:ind w:left="1046" w:right="1016" w:firstLine="338"/>
        <w:spacing w:before="237" w:line="327" w:lineRule="auto"/>
        <w:rPr>
          <w:rFonts w:ascii="SimSun" w:hAnsi="SimSun" w:eastAsia="SimSun" w:cs="SimSun"/>
          <w:sz w:val="17"/>
          <w:szCs w:val="17"/>
        </w:rPr>
      </w:pPr>
      <w:r>
        <w:rPr>
          <w:rFonts w:ascii="SimSun" w:hAnsi="SimSun" w:eastAsia="SimSun" w:cs="SimSun"/>
          <w:sz w:val="17"/>
          <w:szCs w:val="17"/>
          <w:color w:val="333333"/>
          <w:spacing w:val="5"/>
        </w:rPr>
        <w:t>“十三五”时期，财政部在构建会计学术话语体系、传播中国会计学术声音、塑造中国会计学术形象等方面，做出了积极努</w:t>
      </w:r>
      <w:r>
        <w:rPr>
          <w:rFonts w:ascii="SimSun" w:hAnsi="SimSun" w:eastAsia="SimSun" w:cs="SimSun"/>
          <w:sz w:val="17"/>
          <w:szCs w:val="17"/>
          <w:color w:val="333333"/>
          <w:spacing w:val="47"/>
          <w:w w:val="101"/>
        </w:rPr>
        <w:t> </w:t>
      </w:r>
      <w:r>
        <w:rPr>
          <w:rFonts w:ascii="SimSun" w:hAnsi="SimSun" w:eastAsia="SimSun" w:cs="SimSun"/>
          <w:sz w:val="17"/>
          <w:szCs w:val="17"/>
          <w:color w:val="333333"/>
          <w:spacing w:val="-8"/>
        </w:rPr>
        <w:t>力。</w:t>
      </w:r>
    </w:p>
    <w:p>
      <w:pPr>
        <w:ind w:left="1043" w:right="1016" w:firstLine="353"/>
        <w:spacing w:before="108" w:line="327" w:lineRule="auto"/>
        <w:rPr>
          <w:rFonts w:ascii="SimSun" w:hAnsi="SimSun" w:eastAsia="SimSun" w:cs="SimSun"/>
          <w:sz w:val="17"/>
          <w:szCs w:val="17"/>
        </w:rPr>
      </w:pPr>
      <w:r>
        <w:rPr>
          <w:rFonts w:ascii="SimSun" w:hAnsi="SimSun" w:eastAsia="SimSun" w:cs="SimSun"/>
          <w:sz w:val="17"/>
          <w:szCs w:val="17"/>
          <w:color w:val="333333"/>
          <w:spacing w:val="-1"/>
        </w:rPr>
        <w:t>一是中国会计学会主办的英文期刊——《China</w:t>
      </w:r>
      <w:r>
        <w:rPr>
          <w:rFonts w:ascii="SimSun" w:hAnsi="SimSun" w:eastAsia="SimSun" w:cs="SimSun"/>
          <w:sz w:val="17"/>
          <w:szCs w:val="17"/>
          <w:color w:val="333333"/>
          <w:spacing w:val="76"/>
          <w:w w:val="101"/>
        </w:rPr>
        <w:t> </w:t>
      </w:r>
      <w:r>
        <w:rPr>
          <w:rFonts w:ascii="SimSun" w:hAnsi="SimSun" w:eastAsia="SimSun" w:cs="SimSun"/>
          <w:sz w:val="17"/>
          <w:szCs w:val="17"/>
          <w:color w:val="333333"/>
          <w:spacing w:val="-1"/>
        </w:rPr>
        <w:t>Journal</w:t>
      </w:r>
      <w:r>
        <w:rPr>
          <w:rFonts w:ascii="SimSun" w:hAnsi="SimSun" w:eastAsia="SimSun" w:cs="SimSun"/>
          <w:sz w:val="17"/>
          <w:szCs w:val="17"/>
          <w:color w:val="333333"/>
          <w:spacing w:val="12"/>
        </w:rPr>
        <w:t> </w:t>
      </w:r>
      <w:r>
        <w:rPr>
          <w:rFonts w:ascii="SimSun" w:hAnsi="SimSun" w:eastAsia="SimSun" w:cs="SimSun"/>
          <w:sz w:val="17"/>
          <w:szCs w:val="17"/>
          <w:color w:val="333333"/>
          <w:spacing w:val="-1"/>
        </w:rPr>
        <w:t>of</w:t>
      </w:r>
      <w:r>
        <w:rPr>
          <w:rFonts w:ascii="SimSun" w:hAnsi="SimSun" w:eastAsia="SimSun" w:cs="SimSun"/>
          <w:sz w:val="17"/>
          <w:szCs w:val="17"/>
          <w:color w:val="333333"/>
          <w:spacing w:val="5"/>
        </w:rPr>
        <w:t> </w:t>
      </w:r>
      <w:r>
        <w:rPr>
          <w:rFonts w:ascii="SimSun" w:hAnsi="SimSun" w:eastAsia="SimSun" w:cs="SimSun"/>
          <w:sz w:val="17"/>
          <w:szCs w:val="17"/>
          <w:color w:val="333333"/>
          <w:spacing w:val="-1"/>
        </w:rPr>
        <w:t>Accounting</w:t>
      </w:r>
      <w:r>
        <w:rPr>
          <w:rFonts w:ascii="SimSun" w:hAnsi="SimSun" w:eastAsia="SimSun" w:cs="SimSun"/>
          <w:sz w:val="17"/>
          <w:szCs w:val="17"/>
          <w:color w:val="333333"/>
          <w:spacing w:val="12"/>
        </w:rPr>
        <w:t> </w:t>
      </w:r>
      <w:r>
        <w:rPr>
          <w:rFonts w:ascii="SimSun" w:hAnsi="SimSun" w:eastAsia="SimSun" w:cs="SimSun"/>
          <w:sz w:val="17"/>
          <w:szCs w:val="17"/>
          <w:color w:val="333333"/>
          <w:spacing w:val="-1"/>
        </w:rPr>
        <w:t>Studies》</w:t>
      </w:r>
      <w:r>
        <w:rPr>
          <w:rFonts w:ascii="SimSun" w:hAnsi="SimSun" w:eastAsia="SimSun" w:cs="SimSun"/>
          <w:sz w:val="17"/>
          <w:szCs w:val="17"/>
          <w:color w:val="333333"/>
          <w:spacing w:val="16"/>
        </w:rPr>
        <w:t> </w:t>
      </w:r>
      <w:r>
        <w:rPr>
          <w:rFonts w:ascii="SimSun" w:hAnsi="SimSun" w:eastAsia="SimSun" w:cs="SimSun"/>
          <w:sz w:val="17"/>
          <w:szCs w:val="17"/>
          <w:color w:val="333333"/>
          <w:spacing w:val="-1"/>
        </w:rPr>
        <w:t>进入英国商学院协会发布的</w:t>
      </w:r>
      <w:r>
        <w:rPr>
          <w:rFonts w:ascii="SimSun" w:hAnsi="SimSun" w:eastAsia="SimSun" w:cs="SimSun"/>
          <w:sz w:val="17"/>
          <w:szCs w:val="17"/>
          <w:color w:val="333333"/>
          <w:spacing w:val="-2"/>
        </w:rPr>
        <w:t> </w:t>
      </w:r>
      <w:r>
        <w:rPr>
          <w:rFonts w:ascii="SimSun" w:hAnsi="SimSun" w:eastAsia="SimSun" w:cs="SimSun"/>
          <w:sz w:val="17"/>
          <w:szCs w:val="17"/>
          <w:color w:val="333333"/>
          <w:spacing w:val="-1"/>
        </w:rPr>
        <w:t>“2018年高质</w:t>
      </w:r>
      <w:r>
        <w:rPr>
          <w:rFonts w:ascii="SimSun" w:hAnsi="SimSun" w:eastAsia="SimSun" w:cs="SimSun"/>
          <w:sz w:val="17"/>
          <w:szCs w:val="17"/>
          <w:color w:val="333333"/>
        </w:rPr>
        <w:t> </w:t>
      </w:r>
      <w:r>
        <w:rPr>
          <w:rFonts w:ascii="SimSun" w:hAnsi="SimSun" w:eastAsia="SimSun" w:cs="SimSun"/>
          <w:sz w:val="17"/>
          <w:szCs w:val="17"/>
          <w:color w:val="333333"/>
          <w:spacing w:val="1"/>
        </w:rPr>
        <w:t>量学术期刊指南”</w:t>
      </w:r>
      <w:r>
        <w:rPr>
          <w:rFonts w:ascii="SimSun" w:hAnsi="SimSun" w:eastAsia="SimSun" w:cs="SimSun"/>
          <w:sz w:val="17"/>
          <w:szCs w:val="17"/>
          <w:color w:val="333333"/>
        </w:rPr>
        <w:t> </w:t>
      </w:r>
      <w:r>
        <w:rPr>
          <w:rFonts w:ascii="SimSun" w:hAnsi="SimSun" w:eastAsia="SimSun" w:cs="SimSun"/>
          <w:sz w:val="17"/>
          <w:szCs w:val="17"/>
          <w:color w:val="333333"/>
          <w:spacing w:val="1"/>
        </w:rPr>
        <w:t>，并被Scopus数据库和DOAJ数据库收录。每年定期举办的两次CJAS学术研讨会，为国际学术思想交流、会计成果</w:t>
      </w:r>
      <w:r>
        <w:rPr>
          <w:rFonts w:ascii="SimSun" w:hAnsi="SimSun" w:eastAsia="SimSun" w:cs="SimSun"/>
          <w:sz w:val="17"/>
          <w:szCs w:val="17"/>
          <w:color w:val="333333"/>
        </w:rPr>
        <w:t> </w:t>
      </w:r>
      <w:r>
        <w:rPr>
          <w:rFonts w:ascii="SimSun" w:hAnsi="SimSun" w:eastAsia="SimSun" w:cs="SimSun"/>
          <w:sz w:val="17"/>
          <w:szCs w:val="17"/>
          <w:color w:val="333333"/>
          <w:spacing w:val="1"/>
        </w:rPr>
        <w:t>共享和会计方法展示提供了良好平台，彰显了中国会计学术水平和国际影响力。</w:t>
      </w:r>
    </w:p>
    <w:p>
      <w:pPr>
        <w:ind w:left="1046" w:right="1016" w:firstLine="346"/>
        <w:spacing w:before="109" w:line="327" w:lineRule="auto"/>
        <w:rPr>
          <w:rFonts w:ascii="SimSun" w:hAnsi="SimSun" w:eastAsia="SimSun" w:cs="SimSun"/>
          <w:sz w:val="17"/>
          <w:szCs w:val="17"/>
        </w:rPr>
      </w:pPr>
      <w:r>
        <w:rPr>
          <w:rFonts w:ascii="SimSun" w:hAnsi="SimSun" w:eastAsia="SimSun" w:cs="SimSun"/>
          <w:sz w:val="17"/>
          <w:szCs w:val="17"/>
          <w:color w:val="333333"/>
          <w:spacing w:val="2"/>
        </w:rPr>
        <w:t>二是组织中国会计学者积极参与国际会议和国际学术交流活动，委托中国会计学会对外会计学术交流专业委员会相关成员在欧</w:t>
      </w:r>
      <w:r>
        <w:rPr>
          <w:rFonts w:ascii="SimSun" w:hAnsi="SimSun" w:eastAsia="SimSun" w:cs="SimSun"/>
          <w:sz w:val="17"/>
          <w:szCs w:val="17"/>
          <w:color w:val="333333"/>
          <w:spacing w:val="30"/>
        </w:rPr>
        <w:t> </w:t>
      </w:r>
      <w:r>
        <w:rPr>
          <w:rFonts w:ascii="SimSun" w:hAnsi="SimSun" w:eastAsia="SimSun" w:cs="SimSun"/>
          <w:sz w:val="17"/>
          <w:szCs w:val="17"/>
          <w:color w:val="333333"/>
          <w:spacing w:val="2"/>
        </w:rPr>
        <w:t>洲会计学会学术年会、澳大利亚新西兰会计学会学术年会发表演讲，展示中国会计理论研究成果，同时增进国内学术界对相关领域</w:t>
      </w:r>
      <w:r>
        <w:rPr>
          <w:rFonts w:ascii="SimSun" w:hAnsi="SimSun" w:eastAsia="SimSun" w:cs="SimSun"/>
          <w:sz w:val="17"/>
          <w:szCs w:val="17"/>
          <w:color w:val="333333"/>
          <w:spacing w:val="32"/>
        </w:rPr>
        <w:t> </w:t>
      </w:r>
      <w:r>
        <w:rPr>
          <w:rFonts w:ascii="SimSun" w:hAnsi="SimSun" w:eastAsia="SimSun" w:cs="SimSun"/>
          <w:sz w:val="17"/>
          <w:szCs w:val="17"/>
          <w:color w:val="333333"/>
          <w:spacing w:val="-1"/>
        </w:rPr>
        <w:t>的国际前沿动态的了解。</w:t>
      </w:r>
    </w:p>
    <w:p>
      <w:pPr>
        <w:ind w:firstLine="1391"/>
        <w:spacing w:before="107" w:line="187" w:lineRule="auto"/>
        <w:rPr>
          <w:rFonts w:ascii="SimSun" w:hAnsi="SimSun" w:eastAsia="SimSun" w:cs="SimSun"/>
          <w:sz w:val="17"/>
          <w:szCs w:val="17"/>
        </w:rPr>
      </w:pPr>
      <w:r>
        <w:rPr>
          <w:rFonts w:ascii="SimSun" w:hAnsi="SimSun" w:eastAsia="SimSun" w:cs="SimSun"/>
          <w:sz w:val="17"/>
          <w:szCs w:val="17"/>
          <w:color w:val="333333"/>
          <w:spacing w:val="11"/>
        </w:rPr>
        <w:t>二、</w:t>
      </w:r>
      <w:r>
        <w:rPr>
          <w:rFonts w:ascii="SimSun" w:hAnsi="SimSun" w:eastAsia="SimSun" w:cs="SimSun"/>
          <w:sz w:val="17"/>
          <w:szCs w:val="17"/>
          <w:color w:val="333333"/>
          <w:spacing w:val="-65"/>
        </w:rPr>
        <w:t> </w:t>
      </w:r>
      <w:r>
        <w:rPr>
          <w:rFonts w:ascii="SimSun" w:hAnsi="SimSun" w:eastAsia="SimSun" w:cs="SimSun"/>
          <w:sz w:val="17"/>
          <w:szCs w:val="17"/>
          <w:color w:val="333333"/>
          <w:spacing w:val="11"/>
        </w:rPr>
        <w:t>“十四五”时期会计研究面临的形势与挑战</w:t>
      </w:r>
    </w:p>
    <w:p>
      <w:pPr>
        <w:ind w:left="1044" w:right="1016" w:firstLine="352"/>
        <w:spacing w:before="237" w:line="327" w:lineRule="auto"/>
        <w:rPr>
          <w:rFonts w:ascii="SimSun" w:hAnsi="SimSun" w:eastAsia="SimSun" w:cs="SimSun"/>
          <w:sz w:val="17"/>
          <w:szCs w:val="17"/>
        </w:rPr>
      </w:pPr>
      <w:r>
        <w:rPr>
          <w:rFonts w:ascii="SimSun" w:hAnsi="SimSun" w:eastAsia="SimSun" w:cs="SimSun"/>
          <w:sz w:val="17"/>
          <w:szCs w:val="17"/>
          <w:color w:val="333333"/>
          <w:spacing w:val="2"/>
        </w:rPr>
        <w:t>时代是思想之母，实践是理论之源。我们正经历着我国历史上最为广泛而深刻的社会变革，也正在进行着人类历史上最为宏大</w:t>
      </w:r>
      <w:r>
        <w:rPr>
          <w:rFonts w:ascii="SimSun" w:hAnsi="SimSun" w:eastAsia="SimSun" w:cs="SimSun"/>
          <w:sz w:val="17"/>
          <w:szCs w:val="17"/>
          <w:color w:val="333333"/>
          <w:spacing w:val="25"/>
        </w:rPr>
        <w:t> </w:t>
      </w:r>
      <w:r>
        <w:rPr>
          <w:rFonts w:ascii="SimSun" w:hAnsi="SimSun" w:eastAsia="SimSun" w:cs="SimSun"/>
          <w:sz w:val="17"/>
          <w:szCs w:val="17"/>
          <w:color w:val="333333"/>
          <w:spacing w:val="2"/>
        </w:rPr>
        <w:t>而独特的实践创新，会计面临的新情况更复杂、新挑战更严峻。会计改革需要正确的理论指导，会计理论要在改革的实践中不断丰</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4"/>
        </w:rPr>
        <w:t>富和发展。</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（一）高质量发展对会计理论和方法体系提出新要求。</w:t>
      </w:r>
    </w:p>
    <w:p>
      <w:pPr>
        <w:ind w:left="1043" w:right="1016" w:firstLine="335"/>
        <w:spacing w:before="237" w:line="327" w:lineRule="auto"/>
        <w:rPr>
          <w:rFonts w:ascii="SimSun" w:hAnsi="SimSun" w:eastAsia="SimSun" w:cs="SimSun"/>
          <w:sz w:val="17"/>
          <w:szCs w:val="17"/>
        </w:rPr>
      </w:pPr>
      <w:r>
        <w:rPr>
          <w:rFonts w:ascii="SimSun" w:hAnsi="SimSun" w:eastAsia="SimSun" w:cs="SimSun"/>
          <w:sz w:val="17"/>
          <w:szCs w:val="17"/>
          <w:color w:val="333333"/>
          <w:spacing w:val="2"/>
        </w:rPr>
        <w:t>“十四五”时期，我们进入以“变革融合、提质增效”为特征的会计改革发展新阶段。作为宏观经济管理和市场资源配置的基</w:t>
      </w:r>
      <w:r>
        <w:rPr>
          <w:rFonts w:ascii="SimSun" w:hAnsi="SimSun" w:eastAsia="SimSun" w:cs="SimSun"/>
          <w:sz w:val="17"/>
          <w:szCs w:val="17"/>
          <w:color w:val="333333"/>
          <w:spacing w:val="44"/>
        </w:rPr>
        <w:t> </w:t>
      </w:r>
      <w:r>
        <w:rPr>
          <w:rFonts w:ascii="SimSun" w:hAnsi="SimSun" w:eastAsia="SimSun" w:cs="SimSun"/>
          <w:sz w:val="17"/>
          <w:szCs w:val="17"/>
          <w:color w:val="333333"/>
          <w:spacing w:val="2"/>
        </w:rPr>
        <w:t>础性工作，会计在中国全面深化改革和深度融入经济全球化的进程中的重要性正日益凸显。传统的会计理论研究聚焦的是经济的效</w:t>
      </w:r>
      <w:r>
        <w:rPr>
          <w:rFonts w:ascii="SimSun" w:hAnsi="SimSun" w:eastAsia="SimSun" w:cs="SimSun"/>
          <w:sz w:val="17"/>
          <w:szCs w:val="17"/>
          <w:color w:val="333333"/>
          <w:spacing w:val="35"/>
        </w:rPr>
        <w:t> </w:t>
      </w:r>
      <w:r>
        <w:rPr>
          <w:rFonts w:ascii="SimSun" w:hAnsi="SimSun" w:eastAsia="SimSun" w:cs="SimSun"/>
          <w:sz w:val="17"/>
          <w:szCs w:val="17"/>
          <w:color w:val="333333"/>
          <w:spacing w:val="2"/>
        </w:rPr>
        <w:t>率与效益，缺乏对高质量发展相关问题进行深入研究的内在动力。新发展理念的提出和高质量发展目标的确定，极大丰富了会计实</w:t>
      </w:r>
      <w:r>
        <w:rPr>
          <w:rFonts w:ascii="SimSun" w:hAnsi="SimSun" w:eastAsia="SimSun" w:cs="SimSun"/>
          <w:sz w:val="17"/>
          <w:szCs w:val="17"/>
          <w:color w:val="333333"/>
          <w:spacing w:val="35"/>
        </w:rPr>
        <w:t> </w:t>
      </w:r>
      <w:r>
        <w:rPr>
          <w:rFonts w:ascii="SimSun" w:hAnsi="SimSun" w:eastAsia="SimSun" w:cs="SimSun"/>
          <w:sz w:val="17"/>
          <w:szCs w:val="17"/>
          <w:color w:val="333333"/>
          <w:spacing w:val="2"/>
        </w:rPr>
        <w:t>践活动，需要理论界探索重构相应的会计理论和方法体系，系统严谨阐释会计服务高质量发展的作用原理、机制机理、方式方法，</w:t>
      </w:r>
      <w:r>
        <w:rPr>
          <w:rFonts w:ascii="SimSun" w:hAnsi="SimSun" w:eastAsia="SimSun" w:cs="SimSun"/>
          <w:sz w:val="17"/>
          <w:szCs w:val="17"/>
          <w:color w:val="333333"/>
          <w:spacing w:val="35"/>
        </w:rPr>
        <w:t> </w:t>
      </w:r>
      <w:r>
        <w:rPr>
          <w:rFonts w:ascii="SimSun" w:hAnsi="SimSun" w:eastAsia="SimSun" w:cs="SimSun"/>
          <w:sz w:val="17"/>
          <w:szCs w:val="17"/>
          <w:color w:val="333333"/>
          <w:spacing w:val="1"/>
        </w:rPr>
        <w:t>具体表现等，为实现高质量发展目标提供政策制定、实务工作方面的指导和参考依据。</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（二）党和国家监督体系不断完善为会计理论研究提出新课题。</w:t>
      </w:r>
    </w:p>
    <w:p>
      <w:pPr>
        <w:spacing w:line="317"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kjs.mof.gov.cn/zhengcejiedu/202204/t20220421_3804563.htm</w:t>
      </w:r>
      <w:r>
        <w:rPr>
          <w:rFonts w:ascii="Arial" w:hAnsi="Arial" w:eastAsia="Arial" w:cs="Arial"/>
          <w:sz w:val="16"/>
          <w:szCs w:val="16"/>
        </w:rPr>
        <w:t>                                                                                                                                            </w:t>
      </w:r>
      <w:r>
        <w:rPr>
          <w:rFonts w:ascii="Arial" w:hAnsi="Arial" w:eastAsia="Arial" w:cs="Arial"/>
          <w:sz w:val="16"/>
          <w:szCs w:val="16"/>
          <w:spacing w:val="-1"/>
        </w:rPr>
        <w:t>2/5</w:t>
      </w:r>
    </w:p>
    <w:p>
      <w:pPr>
        <w:sectPr>
          <w:pgSz w:w="11900" w:h="16839"/>
          <w:pgMar w:top="0" w:right="0" w:bottom="0" w:left="0" w:header="0" w:footer="0" w:gutter="0"/>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1"/>
          <w:position w:val="1"/>
        </w:rPr>
        <w:t>                                 </w:t>
      </w:r>
      <w:r>
        <w:rPr>
          <w:rFonts w:ascii="Microsoft YaHei" w:hAnsi="Microsoft YaHei" w:eastAsia="Microsoft YaHei" w:cs="Microsoft YaHei"/>
          <w:sz w:val="16"/>
          <w:szCs w:val="16"/>
          <w:spacing w:val="-2"/>
        </w:rPr>
        <w:t>加强会计理论与实务研究</w:t>
      </w:r>
      <w:r>
        <w:rPr>
          <w:rFonts w:ascii="Microsoft YaHei" w:hAnsi="Microsoft YaHei" w:eastAsia="Microsoft YaHei" w:cs="Microsoft YaHei"/>
          <w:sz w:val="16"/>
          <w:szCs w:val="16"/>
          <w:spacing w:val="6"/>
        </w:rPr>
        <w:t>      </w:t>
      </w:r>
      <w:r>
        <w:rPr>
          <w:rFonts w:ascii="Microsoft YaHei" w:hAnsi="Microsoft YaHei" w:eastAsia="Microsoft YaHei" w:cs="Microsoft YaHei"/>
          <w:sz w:val="16"/>
          <w:szCs w:val="16"/>
          <w:spacing w:val="-2"/>
        </w:rPr>
        <w:t>推动经济社会高质量发展</w:t>
      </w:r>
      <w:r>
        <w:rPr>
          <w:rFonts w:ascii="Arial" w:hAnsi="Arial" w:eastAsia="Arial" w:cs="Arial"/>
          <w:sz w:val="16"/>
          <w:szCs w:val="16"/>
          <w:spacing w:val="-2"/>
        </w:rPr>
        <w:t>——</w:t>
      </w:r>
      <w:r>
        <w:rPr>
          <w:rFonts w:ascii="Arial" w:hAnsi="Arial" w:eastAsia="Arial" w:cs="Arial"/>
          <w:sz w:val="16"/>
          <w:szCs w:val="16"/>
          <w:spacing w:val="34"/>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规划纲要》系列解读之十</w:t>
      </w:r>
    </w:p>
    <w:p>
      <w:pPr>
        <w:ind w:left="1044" w:right="1016" w:firstLine="345"/>
        <w:spacing w:before="136" w:line="327" w:lineRule="auto"/>
        <w:rPr>
          <w:rFonts w:ascii="SimSun" w:hAnsi="SimSun" w:eastAsia="SimSun" w:cs="SimSun"/>
          <w:sz w:val="17"/>
          <w:szCs w:val="17"/>
        </w:rPr>
      </w:pPr>
      <w:r>
        <w:rPr>
          <w:rFonts w:ascii="SimSun" w:hAnsi="SimSun" w:eastAsia="SimSun" w:cs="SimSun"/>
          <w:sz w:val="17"/>
          <w:szCs w:val="17"/>
          <w:color w:val="333333"/>
          <w:spacing w:val="2"/>
        </w:rPr>
        <w:t>财会监督是我国会计理论和实践最具特色的内容之一。在十九届中央纪委四次全会上，习近平总书记提出将财会监督一并纳入</w:t>
      </w:r>
      <w:r>
        <w:rPr>
          <w:rFonts w:ascii="SimSun" w:hAnsi="SimSun" w:eastAsia="SimSun" w:cs="SimSun"/>
          <w:sz w:val="17"/>
          <w:szCs w:val="17"/>
          <w:color w:val="333333"/>
          <w:spacing w:val="32"/>
        </w:rPr>
        <w:t> </w:t>
      </w:r>
      <w:r>
        <w:rPr>
          <w:rFonts w:ascii="SimSun" w:hAnsi="SimSun" w:eastAsia="SimSun" w:cs="SimSun"/>
          <w:sz w:val="17"/>
          <w:szCs w:val="17"/>
          <w:color w:val="333333"/>
          <w:spacing w:val="2"/>
        </w:rPr>
        <w:t>党和国家监督体系，这不仅是对中国特色财会监督地位和作用的充分肯定，更是对财会监督未来改革发展提出的重大课题。系统梳</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理财会监督的演变脉络，准确界定财会监督的内涵与外延，客观分析财会监督的成效和问题，科学谋划财会监督的改革和发展，是</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时代赋予的重任，也是中国特色财会监督发扬光大的内在要求，是会计工作在促进国家治理体系和治理能力现代化过程中更好发挥</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作用的重要方面。</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（三）信息技术发展和会计实践创新给会计理论与实务带来新挑战。</w:t>
      </w:r>
    </w:p>
    <w:p>
      <w:pPr>
        <w:ind w:firstLine="1395"/>
        <w:spacing w:before="236" w:line="187" w:lineRule="auto"/>
        <w:rPr>
          <w:rFonts w:ascii="SimSun" w:hAnsi="SimSun" w:eastAsia="SimSun" w:cs="SimSun"/>
          <w:sz w:val="17"/>
          <w:szCs w:val="17"/>
        </w:rPr>
      </w:pPr>
      <w:r>
        <w:rPr>
          <w:rFonts w:ascii="SimSun" w:hAnsi="SimSun" w:eastAsia="SimSun" w:cs="SimSun"/>
          <w:sz w:val="17"/>
          <w:szCs w:val="17"/>
          <w:color w:val="333333"/>
          <w:spacing w:val="5"/>
        </w:rPr>
        <w:t>科技发展日新月异，是新时代的一个重要特征。在政策和技术的双重加持下，</w:t>
      </w:r>
      <w:r>
        <w:rPr>
          <w:rFonts w:ascii="SimSun" w:hAnsi="SimSun" w:eastAsia="SimSun" w:cs="SimSun"/>
          <w:sz w:val="17"/>
          <w:szCs w:val="17"/>
          <w:color w:val="333333"/>
          <w:spacing w:val="-49"/>
        </w:rPr>
        <w:t> </w:t>
      </w:r>
      <w:r>
        <w:rPr>
          <w:rFonts w:ascii="SimSun" w:hAnsi="SimSun" w:eastAsia="SimSun" w:cs="SimSun"/>
          <w:sz w:val="17"/>
          <w:szCs w:val="17"/>
          <w:color w:val="333333"/>
          <w:spacing w:val="5"/>
        </w:rPr>
        <w:t>“大智移云物区”在会计审计领域得到广泛应</w:t>
      </w:r>
    </w:p>
    <w:p>
      <w:pPr>
        <w:ind w:left="1044" w:right="1016"/>
        <w:spacing w:before="130" w:line="327" w:lineRule="auto"/>
        <w:rPr>
          <w:rFonts w:ascii="SimSun" w:hAnsi="SimSun" w:eastAsia="SimSun" w:cs="SimSun"/>
          <w:sz w:val="17"/>
          <w:szCs w:val="17"/>
        </w:rPr>
      </w:pPr>
      <w:r>
        <w:rPr>
          <w:rFonts w:ascii="SimSun" w:hAnsi="SimSun" w:eastAsia="SimSun" w:cs="SimSun"/>
          <w:sz w:val="17"/>
          <w:szCs w:val="17"/>
          <w:color w:val="333333"/>
          <w:spacing w:val="2"/>
        </w:rPr>
        <w:t>用，以财务云、电子发票、电子档案、RPA（机器人流程自动化）</w:t>
      </w:r>
      <w:r>
        <w:rPr>
          <w:rFonts w:ascii="SimSun" w:hAnsi="SimSun" w:eastAsia="SimSun" w:cs="SimSun"/>
          <w:sz w:val="17"/>
          <w:szCs w:val="17"/>
          <w:color w:val="333333"/>
          <w:spacing w:val="31"/>
        </w:rPr>
        <w:t> </w:t>
      </w:r>
      <w:r>
        <w:rPr>
          <w:rFonts w:ascii="SimSun" w:hAnsi="SimSun" w:eastAsia="SimSun" w:cs="SimSun"/>
          <w:sz w:val="17"/>
          <w:szCs w:val="17"/>
          <w:color w:val="333333"/>
          <w:spacing w:val="2"/>
        </w:rPr>
        <w:t>、在线审计为代表的会计信息技术等快步向前，正处于方兴未艾</w:t>
      </w:r>
      <w:r>
        <w:rPr>
          <w:rFonts w:ascii="SimSun" w:hAnsi="SimSun" w:eastAsia="SimSun" w:cs="SimSun"/>
          <w:sz w:val="17"/>
          <w:szCs w:val="17"/>
          <w:color w:val="333333"/>
        </w:rPr>
        <w:t> </w:t>
      </w:r>
      <w:r>
        <w:rPr>
          <w:rFonts w:ascii="SimSun" w:hAnsi="SimSun" w:eastAsia="SimSun" w:cs="SimSun"/>
          <w:sz w:val="17"/>
          <w:szCs w:val="17"/>
          <w:color w:val="333333"/>
          <w:spacing w:val="3"/>
        </w:rPr>
        <w:t>之时。2020年4月，中共中央、国务院关于构建更加完善的要素市场化配置体制机制的意见发布，数据作为一种新型生产要素写入</w:t>
      </w:r>
      <w:r>
        <w:rPr>
          <w:rFonts w:ascii="SimSun" w:hAnsi="SimSun" w:eastAsia="SimSun" w:cs="SimSun"/>
          <w:sz w:val="17"/>
          <w:szCs w:val="17"/>
          <w:color w:val="333333"/>
          <w:spacing w:val="56"/>
        </w:rPr>
        <w:t> </w:t>
      </w:r>
      <w:r>
        <w:rPr>
          <w:rFonts w:ascii="SimSun" w:hAnsi="SimSun" w:eastAsia="SimSun" w:cs="SimSun"/>
          <w:sz w:val="17"/>
          <w:szCs w:val="17"/>
          <w:color w:val="333333"/>
          <w:spacing w:val="2"/>
        </w:rPr>
        <w:t>文件。作为与社会财富相关的一种管理活动、一个信息系统，会计的重要性不断凸显。在数字经济时代，会计与信息技术的深度融</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合，为行业转型升级提供了新动能，也给已有会计理论研究带来了新冲击。新时代的会计理论需要直面时代要求和实践难题，持续</w:t>
      </w:r>
      <w:r>
        <w:rPr>
          <w:rFonts w:ascii="SimSun" w:hAnsi="SimSun" w:eastAsia="SimSun" w:cs="SimSun"/>
          <w:sz w:val="17"/>
          <w:szCs w:val="17"/>
          <w:color w:val="333333"/>
          <w:spacing w:val="33"/>
          <w:w w:val="101"/>
        </w:rPr>
        <w:t> </w:t>
      </w:r>
      <w:r>
        <w:rPr>
          <w:rFonts w:ascii="SimSun" w:hAnsi="SimSun" w:eastAsia="SimSun" w:cs="SimSun"/>
          <w:sz w:val="17"/>
          <w:szCs w:val="17"/>
          <w:color w:val="333333"/>
        </w:rPr>
        <w:t>提升解释力和指导力，以促进会计事业更好更快发展。</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（四）高水平对外开放需要为会计学术国际交流构建新格局。</w:t>
      </w:r>
    </w:p>
    <w:p>
      <w:pPr>
        <w:ind w:left="1042" w:right="1016" w:firstLine="358"/>
        <w:spacing w:before="238" w:line="327" w:lineRule="auto"/>
        <w:rPr>
          <w:rFonts w:ascii="SimSun" w:hAnsi="SimSun" w:eastAsia="SimSun" w:cs="SimSun"/>
          <w:sz w:val="17"/>
          <w:szCs w:val="17"/>
        </w:rPr>
      </w:pPr>
      <w:r>
        <w:rPr>
          <w:rFonts w:ascii="SimSun" w:hAnsi="SimSun" w:eastAsia="SimSun" w:cs="SimSun"/>
          <w:sz w:val="17"/>
          <w:szCs w:val="17"/>
          <w:color w:val="333333"/>
        </w:rPr>
        <w:t>习近平总书记在全国哲学社会科学工作座谈会上强调：</w:t>
      </w:r>
      <w:r>
        <w:rPr>
          <w:rFonts w:ascii="SimSun" w:hAnsi="SimSun" w:eastAsia="SimSun" w:cs="SimSun"/>
          <w:sz w:val="17"/>
          <w:szCs w:val="17"/>
          <w:color w:val="333333"/>
          <w:spacing w:val="46"/>
          <w:w w:val="101"/>
        </w:rPr>
        <w:t> </w:t>
      </w:r>
      <w:r>
        <w:rPr>
          <w:rFonts w:ascii="SimSun" w:hAnsi="SimSun" w:eastAsia="SimSun" w:cs="SimSun"/>
          <w:sz w:val="17"/>
          <w:szCs w:val="17"/>
          <w:color w:val="333333"/>
        </w:rPr>
        <w:t>“这是一个需要理论而且一定能够产生理论的时代，这是一个需要思想</w:t>
      </w:r>
      <w:r>
        <w:rPr>
          <w:rFonts w:ascii="SimSun" w:hAnsi="SimSun" w:eastAsia="SimSun" w:cs="SimSun"/>
          <w:sz w:val="17"/>
          <w:szCs w:val="17"/>
          <w:color w:val="333333"/>
        </w:rPr>
        <w:t> </w:t>
      </w:r>
      <w:r>
        <w:rPr>
          <w:rFonts w:ascii="SimSun" w:hAnsi="SimSun" w:eastAsia="SimSun" w:cs="SimSun"/>
          <w:sz w:val="17"/>
          <w:szCs w:val="17"/>
          <w:color w:val="333333"/>
          <w:spacing w:val="2"/>
        </w:rPr>
        <w:t>而且一定能够产生思想的时代。我们不能辜负了这个时代。</w:t>
      </w:r>
      <w:r>
        <w:rPr>
          <w:rFonts w:ascii="SimSun" w:hAnsi="SimSun" w:eastAsia="SimSun" w:cs="SimSun"/>
          <w:sz w:val="17"/>
          <w:szCs w:val="17"/>
          <w:color w:val="333333"/>
          <w:spacing w:val="-49"/>
        </w:rPr>
        <w:t> </w:t>
      </w:r>
      <w:r>
        <w:rPr>
          <w:rFonts w:ascii="SimSun" w:hAnsi="SimSun" w:eastAsia="SimSun" w:cs="SimSun"/>
          <w:sz w:val="17"/>
          <w:szCs w:val="17"/>
          <w:color w:val="333333"/>
          <w:spacing w:val="2"/>
        </w:rPr>
        <w:t>”他提出，在解读中国实践、构建中国理论上，我们应该最有发言权，</w:t>
      </w:r>
      <w:r>
        <w:rPr>
          <w:rFonts w:ascii="SimSun" w:hAnsi="SimSun" w:eastAsia="SimSun" w:cs="SimSun"/>
          <w:sz w:val="17"/>
          <w:szCs w:val="17"/>
          <w:color w:val="333333"/>
        </w:rPr>
        <w:t> </w:t>
      </w:r>
      <w:r>
        <w:rPr>
          <w:rFonts w:ascii="SimSun" w:hAnsi="SimSun" w:eastAsia="SimSun" w:cs="SimSun"/>
          <w:sz w:val="17"/>
          <w:szCs w:val="17"/>
          <w:color w:val="333333"/>
          <w:spacing w:val="5"/>
        </w:rPr>
        <w:t>但实际上我国哲学社会科学在国际上的声音还比较小，还处于有理说不出、说了传不开的境地。随着我国日益走向世界舞台的中</w:t>
      </w:r>
      <w:r>
        <w:rPr>
          <w:rFonts w:ascii="SimSun" w:hAnsi="SimSun" w:eastAsia="SimSun" w:cs="SimSun"/>
          <w:sz w:val="17"/>
          <w:szCs w:val="17"/>
          <w:color w:val="333333"/>
          <w:spacing w:val="40"/>
        </w:rPr>
        <w:t> </w:t>
      </w:r>
      <w:r>
        <w:rPr>
          <w:rFonts w:ascii="SimSun" w:hAnsi="SimSun" w:eastAsia="SimSun" w:cs="SimSun"/>
          <w:sz w:val="17"/>
          <w:szCs w:val="17"/>
          <w:color w:val="333333"/>
          <w:spacing w:val="2"/>
        </w:rPr>
        <w:t>央，会计学术国际交流与合作也需要统筹规划，做好顶层设计、构建新的发展格局。一方面，要深入中国会计改革与发展的具体实</w:t>
      </w:r>
      <w:r>
        <w:rPr>
          <w:rFonts w:ascii="SimSun" w:hAnsi="SimSun" w:eastAsia="SimSun" w:cs="SimSun"/>
          <w:sz w:val="17"/>
          <w:szCs w:val="17"/>
          <w:color w:val="333333"/>
          <w:spacing w:val="36"/>
        </w:rPr>
        <w:t> </w:t>
      </w:r>
      <w:r>
        <w:rPr>
          <w:rFonts w:ascii="SimSun" w:hAnsi="SimSun" w:eastAsia="SimSun" w:cs="SimSun"/>
          <w:sz w:val="17"/>
          <w:szCs w:val="17"/>
          <w:color w:val="333333"/>
          <w:spacing w:val="2"/>
        </w:rPr>
        <w:t>践，总结提炼具有中国特色的会计理论成果，将切实可行的中国方案和导向鲜明的学理主张展示给全球同行，塑造良好的中国会计</w:t>
      </w:r>
      <w:r>
        <w:rPr>
          <w:rFonts w:ascii="SimSun" w:hAnsi="SimSun" w:eastAsia="SimSun" w:cs="SimSun"/>
          <w:sz w:val="17"/>
          <w:szCs w:val="17"/>
          <w:color w:val="333333"/>
          <w:spacing w:val="36"/>
        </w:rPr>
        <w:t> </w:t>
      </w:r>
      <w:r>
        <w:rPr>
          <w:rFonts w:ascii="SimSun" w:hAnsi="SimSun" w:eastAsia="SimSun" w:cs="SimSun"/>
          <w:sz w:val="17"/>
          <w:szCs w:val="17"/>
          <w:color w:val="333333"/>
          <w:spacing w:val="2"/>
        </w:rPr>
        <w:t>学术形象。另一方面，要重视世界各国会计理论、方法和实践经验的研究，借鉴其中体现一般规律、并且适合我国国情的经验，实</w:t>
      </w:r>
      <w:r>
        <w:rPr>
          <w:rFonts w:ascii="SimSun" w:hAnsi="SimSun" w:eastAsia="SimSun" w:cs="SimSun"/>
          <w:sz w:val="17"/>
          <w:szCs w:val="17"/>
          <w:color w:val="333333"/>
          <w:spacing w:val="36"/>
        </w:rPr>
        <w:t> </w:t>
      </w:r>
      <w:r>
        <w:rPr>
          <w:rFonts w:ascii="SimSun" w:hAnsi="SimSun" w:eastAsia="SimSun" w:cs="SimSun"/>
          <w:sz w:val="17"/>
          <w:szCs w:val="17"/>
          <w:color w:val="333333"/>
          <w:spacing w:val="1"/>
        </w:rPr>
        <w:t>现“研究主题本土化”和“研究范式国际化”，不断完善和发展我国会计理论。</w:t>
      </w:r>
    </w:p>
    <w:p>
      <w:pPr>
        <w:ind w:firstLine="1388"/>
        <w:spacing w:before="107" w:line="187" w:lineRule="auto"/>
        <w:rPr>
          <w:rFonts w:ascii="SimSun" w:hAnsi="SimSun" w:eastAsia="SimSun" w:cs="SimSun"/>
          <w:sz w:val="17"/>
          <w:szCs w:val="17"/>
        </w:rPr>
      </w:pPr>
      <w:r>
        <w:rPr>
          <w:rFonts w:ascii="SimSun" w:hAnsi="SimSun" w:eastAsia="SimSun" w:cs="SimSun"/>
          <w:sz w:val="17"/>
          <w:szCs w:val="17"/>
          <w:color w:val="333333"/>
          <w:spacing w:val="11"/>
        </w:rPr>
        <w:t>三、</w:t>
      </w:r>
      <w:r>
        <w:rPr>
          <w:rFonts w:ascii="SimSun" w:hAnsi="SimSun" w:eastAsia="SimSun" w:cs="SimSun"/>
          <w:sz w:val="17"/>
          <w:szCs w:val="17"/>
          <w:color w:val="333333"/>
          <w:spacing w:val="-53"/>
        </w:rPr>
        <w:t> </w:t>
      </w:r>
      <w:r>
        <w:rPr>
          <w:rFonts w:ascii="SimSun" w:hAnsi="SimSun" w:eastAsia="SimSun" w:cs="SimSun"/>
          <w:sz w:val="17"/>
          <w:szCs w:val="17"/>
          <w:color w:val="333333"/>
          <w:spacing w:val="11"/>
        </w:rPr>
        <w:t>“十四五”时期推进会计理论和实务研究的任务和措施</w:t>
      </w:r>
    </w:p>
    <w:p>
      <w:pPr>
        <w:ind w:left="1044" w:right="1016" w:firstLine="344"/>
        <w:spacing w:before="238" w:line="327" w:lineRule="auto"/>
        <w:rPr>
          <w:rFonts w:ascii="SimSun" w:hAnsi="SimSun" w:eastAsia="SimSun" w:cs="SimSun"/>
          <w:sz w:val="17"/>
          <w:szCs w:val="17"/>
        </w:rPr>
      </w:pPr>
      <w:r>
        <w:rPr>
          <w:rFonts w:ascii="SimSun" w:hAnsi="SimSun" w:eastAsia="SimSun" w:cs="SimSun"/>
          <w:sz w:val="17"/>
          <w:szCs w:val="17"/>
          <w:color w:val="333333"/>
          <w:spacing w:val="2"/>
        </w:rPr>
        <w:t>会计改革是我国经济社会发展中的重要组成部分，包括会计理论方法体系的构建，会计、审计准则的制定实施与国际趋同，会</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计信息质量保证等核心问题。会计理论研究应该为会计规范建设、会计实务创新和会计教育改革提供支持。加强会计理论研究对于</w:t>
      </w:r>
      <w:r>
        <w:rPr>
          <w:rFonts w:ascii="SimSun" w:hAnsi="SimSun" w:eastAsia="SimSun" w:cs="SimSun"/>
          <w:sz w:val="17"/>
          <w:szCs w:val="17"/>
          <w:color w:val="333333"/>
          <w:spacing w:val="34"/>
        </w:rPr>
        <w:t> </w:t>
      </w:r>
      <w:r>
        <w:rPr>
          <w:rFonts w:ascii="SimSun" w:hAnsi="SimSun" w:eastAsia="SimSun" w:cs="SimSun"/>
          <w:sz w:val="17"/>
          <w:szCs w:val="17"/>
          <w:color w:val="333333"/>
          <w:spacing w:val="1"/>
        </w:rPr>
        <w:t>促进会计标准建设、提高我国会计界的国际话语权和影响力、维护我国国家利益和投资者合法权益等都具有积极意义。</w:t>
      </w:r>
    </w:p>
    <w:p>
      <w:pPr>
        <w:ind w:left="1047" w:right="1016" w:firstLine="331"/>
        <w:spacing w:before="108" w:line="327" w:lineRule="auto"/>
        <w:rPr>
          <w:rFonts w:ascii="SimSun" w:hAnsi="SimSun" w:eastAsia="SimSun" w:cs="SimSun"/>
          <w:sz w:val="17"/>
          <w:szCs w:val="17"/>
        </w:rPr>
      </w:pPr>
      <w:r>
        <w:rPr>
          <w:rFonts w:ascii="SimSun" w:hAnsi="SimSun" w:eastAsia="SimSun" w:cs="SimSun"/>
          <w:sz w:val="17"/>
          <w:szCs w:val="17"/>
          <w:color w:val="333333"/>
          <w:spacing w:val="2"/>
        </w:rPr>
        <w:t>“十四五”时期，财政部将根据中央关于经济社会发展重大决策的相关要求，组织深入调研，根据实际工作需要开展会计理论</w:t>
      </w:r>
      <w:r>
        <w:rPr>
          <w:rFonts w:ascii="SimSun" w:hAnsi="SimSun" w:eastAsia="SimSun" w:cs="SimSun"/>
          <w:sz w:val="17"/>
          <w:szCs w:val="17"/>
          <w:color w:val="333333"/>
          <w:spacing w:val="44"/>
        </w:rPr>
        <w:t> </w:t>
      </w:r>
      <w:r>
        <w:rPr>
          <w:rFonts w:ascii="SimSun" w:hAnsi="SimSun" w:eastAsia="SimSun" w:cs="SimSun"/>
          <w:sz w:val="17"/>
          <w:szCs w:val="17"/>
          <w:color w:val="333333"/>
        </w:rPr>
        <w:t>与实务研究，推动会计事业发展进步。</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（一）组织会计理论攻关。</w:t>
      </w:r>
    </w:p>
    <w:p>
      <w:pPr>
        <w:ind w:left="1042" w:right="1016" w:firstLine="349"/>
        <w:spacing w:before="237" w:line="327" w:lineRule="auto"/>
        <w:rPr>
          <w:rFonts w:ascii="SimSun" w:hAnsi="SimSun" w:eastAsia="SimSun" w:cs="SimSun"/>
          <w:sz w:val="17"/>
          <w:szCs w:val="17"/>
        </w:rPr>
      </w:pPr>
      <w:r>
        <w:rPr>
          <w:rFonts w:ascii="SimSun" w:hAnsi="SimSun" w:eastAsia="SimSun" w:cs="SimSun"/>
          <w:sz w:val="17"/>
          <w:szCs w:val="17"/>
          <w:color w:val="333333"/>
          <w:spacing w:val="2"/>
        </w:rPr>
        <w:t>坚持实践导向，从中国国情出发，紧紧围绕党中央与国家的重大战略部署，选择具有创新性、前瞻性、战略性的重点难点课题</w:t>
      </w:r>
      <w:r>
        <w:rPr>
          <w:rFonts w:ascii="SimSun" w:hAnsi="SimSun" w:eastAsia="SimSun" w:cs="SimSun"/>
          <w:sz w:val="17"/>
          <w:szCs w:val="17"/>
          <w:color w:val="333333"/>
          <w:spacing w:val="30"/>
        </w:rPr>
        <w:t> </w:t>
      </w:r>
      <w:r>
        <w:rPr>
          <w:rFonts w:ascii="SimSun" w:hAnsi="SimSun" w:eastAsia="SimSun" w:cs="SimSun"/>
          <w:sz w:val="17"/>
          <w:szCs w:val="17"/>
          <w:color w:val="333333"/>
          <w:spacing w:val="1"/>
        </w:rPr>
        <w:t>进行招标，并做好课题评标、立项和跟踪管理工作，引导会计学术力量更好地开展重点领域理论攻关，加快推出系列成果。</w:t>
      </w:r>
    </w:p>
    <w:p>
      <w:pPr>
        <w:ind w:firstLine="1391"/>
        <w:spacing w:before="108" w:line="187" w:lineRule="auto"/>
        <w:rPr>
          <w:rFonts w:ascii="SimSun" w:hAnsi="SimSun" w:eastAsia="SimSun" w:cs="SimSun"/>
          <w:sz w:val="17"/>
          <w:szCs w:val="17"/>
        </w:rPr>
      </w:pPr>
      <w:r>
        <w:rPr>
          <w:rFonts w:ascii="SimSun" w:hAnsi="SimSun" w:eastAsia="SimSun" w:cs="SimSun"/>
          <w:sz w:val="17"/>
          <w:szCs w:val="17"/>
          <w:color w:val="333333"/>
          <w:spacing w:val="1"/>
        </w:rPr>
        <w:t>一是提高政治站位，开展服务经济社会发展和会计改革需要的问题导向研究。</w:t>
      </w:r>
    </w:p>
    <w:p>
      <w:pPr>
        <w:ind w:left="1044" w:right="1016" w:firstLine="347"/>
        <w:spacing w:before="237" w:line="327" w:lineRule="auto"/>
        <w:rPr>
          <w:rFonts w:ascii="SimSun" w:hAnsi="SimSun" w:eastAsia="SimSun" w:cs="SimSun"/>
          <w:sz w:val="17"/>
          <w:szCs w:val="17"/>
        </w:rPr>
      </w:pPr>
      <w:r>
        <w:rPr>
          <w:rFonts w:ascii="SimSun" w:hAnsi="SimSun" w:eastAsia="SimSun" w:cs="SimSun"/>
          <w:sz w:val="17"/>
          <w:szCs w:val="17"/>
          <w:color w:val="333333"/>
          <w:spacing w:val="2"/>
        </w:rPr>
        <w:t>二是提高学术水准，推动理论创新的前瞻性研究。将会计研究工作与“五位一体”发展要求、业界学界需求相结合，围绕会计</w:t>
      </w:r>
      <w:r>
        <w:rPr>
          <w:rFonts w:ascii="SimSun" w:hAnsi="SimSun" w:eastAsia="SimSun" w:cs="SimSun"/>
          <w:sz w:val="17"/>
          <w:szCs w:val="17"/>
          <w:color w:val="333333"/>
          <w:spacing w:val="30"/>
        </w:rPr>
        <w:t> </w:t>
      </w:r>
      <w:r>
        <w:rPr>
          <w:rFonts w:ascii="SimSun" w:hAnsi="SimSun" w:eastAsia="SimSun" w:cs="SimSun"/>
          <w:sz w:val="17"/>
          <w:szCs w:val="17"/>
          <w:color w:val="333333"/>
          <w:spacing w:val="2"/>
        </w:rPr>
        <w:t>法规制度建设、会计行业转型发展等会计理论研究中的现实问题，结合经济社会发展和会计改革的要求，为会计改革重大问题研究</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夯实理论和方法基础。</w:t>
      </w:r>
    </w:p>
    <w:p>
      <w:pPr>
        <w:ind w:left="1045" w:right="1016" w:firstLine="350"/>
        <w:spacing w:before="108" w:line="327" w:lineRule="auto"/>
        <w:rPr>
          <w:rFonts w:ascii="SimSun" w:hAnsi="SimSun" w:eastAsia="SimSun" w:cs="SimSun"/>
          <w:sz w:val="17"/>
          <w:szCs w:val="17"/>
        </w:rPr>
      </w:pPr>
      <w:r>
        <w:rPr>
          <w:rFonts w:ascii="SimSun" w:hAnsi="SimSun" w:eastAsia="SimSun" w:cs="SimSun"/>
          <w:sz w:val="17"/>
          <w:szCs w:val="17"/>
          <w:color w:val="333333"/>
          <w:spacing w:val="5"/>
        </w:rPr>
        <w:t>三是聚焦“十四五”时期的重大选题，关注会计理论和实务发展的重点领域，重点研究会计与国家治理、会计与宏观经济运</w:t>
      </w:r>
      <w:r>
        <w:rPr>
          <w:rFonts w:ascii="SimSun" w:hAnsi="SimSun" w:eastAsia="SimSun" w:cs="SimSun"/>
          <w:sz w:val="17"/>
          <w:szCs w:val="17"/>
          <w:color w:val="333333"/>
          <w:spacing w:val="36"/>
          <w:w w:val="101"/>
        </w:rPr>
        <w:t> </w:t>
      </w:r>
      <w:r>
        <w:rPr>
          <w:rFonts w:ascii="SimSun" w:hAnsi="SimSun" w:eastAsia="SimSun" w:cs="SimSun"/>
          <w:sz w:val="17"/>
          <w:szCs w:val="17"/>
          <w:color w:val="333333"/>
          <w:spacing w:val="2"/>
        </w:rPr>
        <w:t>行、会计与财政金融政策、会计与资本市场、会计与新技术发展、会计与人才培养、会计与企业高质量发展、会计与国际协调发展</w:t>
      </w:r>
      <w:r>
        <w:rPr>
          <w:rFonts w:ascii="SimSun" w:hAnsi="SimSun" w:eastAsia="SimSun" w:cs="SimSun"/>
          <w:sz w:val="17"/>
          <w:szCs w:val="17"/>
          <w:color w:val="333333"/>
          <w:spacing w:val="33"/>
        </w:rPr>
        <w:t> </w:t>
      </w:r>
      <w:r>
        <w:rPr>
          <w:rFonts w:ascii="SimSun" w:hAnsi="SimSun" w:eastAsia="SimSun" w:cs="SimSun"/>
          <w:sz w:val="17"/>
          <w:szCs w:val="17"/>
          <w:color w:val="333333"/>
        </w:rPr>
        <w:t>等问题，引领学术发展潮流，切实做好会计理论攻关工作。</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（二）促进研究成果转化应用。</w:t>
      </w:r>
    </w:p>
    <w:p>
      <w:pPr>
        <w:ind w:left="1043" w:right="1016" w:firstLine="335"/>
        <w:spacing w:before="238" w:line="327" w:lineRule="auto"/>
        <w:rPr>
          <w:rFonts w:ascii="SimSun" w:hAnsi="SimSun" w:eastAsia="SimSun" w:cs="SimSun"/>
          <w:sz w:val="17"/>
          <w:szCs w:val="17"/>
        </w:rPr>
      </w:pPr>
      <w:r>
        <w:rPr>
          <w:rFonts w:ascii="SimSun" w:hAnsi="SimSun" w:eastAsia="SimSun" w:cs="SimSun"/>
          <w:sz w:val="17"/>
          <w:szCs w:val="17"/>
          <w:color w:val="333333"/>
          <w:spacing w:val="2"/>
        </w:rPr>
        <w:t>“十四五”时期我国经济和企事业单位的发展目标和任务中明确提出，会计改革与发展应明确自身的新要求，着眼于促进企事</w:t>
      </w:r>
      <w:r>
        <w:rPr>
          <w:rFonts w:ascii="SimSun" w:hAnsi="SimSun" w:eastAsia="SimSun" w:cs="SimSun"/>
          <w:sz w:val="17"/>
          <w:szCs w:val="17"/>
          <w:color w:val="333333"/>
          <w:spacing w:val="44"/>
        </w:rPr>
        <w:t> </w:t>
      </w:r>
      <w:r>
        <w:rPr>
          <w:rFonts w:ascii="SimSun" w:hAnsi="SimSun" w:eastAsia="SimSun" w:cs="SimSun"/>
          <w:sz w:val="17"/>
          <w:szCs w:val="17"/>
          <w:color w:val="333333"/>
        </w:rPr>
        <w:t>业单位的发展战略，推动“十四五”规划的顺利实施。</w:t>
      </w:r>
    </w:p>
    <w:p>
      <w:pPr>
        <w:ind w:left="1046" w:right="1016" w:firstLine="346"/>
        <w:spacing w:before="108" w:line="327" w:lineRule="auto"/>
        <w:rPr>
          <w:rFonts w:ascii="SimSun" w:hAnsi="SimSun" w:eastAsia="SimSun" w:cs="SimSun"/>
          <w:sz w:val="17"/>
          <w:szCs w:val="17"/>
        </w:rPr>
      </w:pPr>
      <w:r>
        <w:rPr>
          <w:rFonts w:ascii="SimSun" w:hAnsi="SimSun" w:eastAsia="SimSun" w:cs="SimSun"/>
          <w:sz w:val="17"/>
          <w:szCs w:val="17"/>
          <w:color w:val="333333"/>
          <w:spacing w:val="2"/>
        </w:rPr>
        <w:t>一是在充分了解当前会计工作的新要求新使命的基础上，以解决实际问题为目标组织开展研究工作，促使会计理论为实践提供</w:t>
      </w:r>
      <w:r>
        <w:rPr>
          <w:rFonts w:ascii="SimSun" w:hAnsi="SimSun" w:eastAsia="SimSun" w:cs="SimSun"/>
          <w:sz w:val="17"/>
          <w:szCs w:val="17"/>
          <w:color w:val="333333"/>
          <w:spacing w:val="30"/>
        </w:rPr>
        <w:t> </w:t>
      </w:r>
      <w:r>
        <w:rPr>
          <w:rFonts w:ascii="SimSun" w:hAnsi="SimSun" w:eastAsia="SimSun" w:cs="SimSun"/>
          <w:sz w:val="17"/>
          <w:szCs w:val="17"/>
          <w:color w:val="333333"/>
          <w:spacing w:val="1"/>
        </w:rPr>
        <w:t>指导，推动理论成果转化为现实的生产力，为有关政策的制定完善和有效实施提供科学论证和决策参考。</w:t>
      </w:r>
    </w:p>
    <w:p>
      <w:pPr>
        <w:ind w:left="1044"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二是“十四五”时期，中国会计学会将更好发挥联系主管机关、理论界、实务界的桥梁纽带作用，团结并带领全国会计科研力</w:t>
      </w:r>
      <w:r>
        <w:rPr>
          <w:rFonts w:ascii="SimSun" w:hAnsi="SimSun" w:eastAsia="SimSun" w:cs="SimSun"/>
          <w:sz w:val="17"/>
          <w:szCs w:val="17"/>
          <w:color w:val="333333"/>
          <w:spacing w:val="30"/>
        </w:rPr>
        <w:t> </w:t>
      </w:r>
      <w:r>
        <w:rPr>
          <w:rFonts w:ascii="SimSun" w:hAnsi="SimSun" w:eastAsia="SimSun" w:cs="SimSun"/>
          <w:sz w:val="17"/>
          <w:szCs w:val="17"/>
          <w:color w:val="333333"/>
          <w:spacing w:val="1"/>
        </w:rPr>
        <w:t>量，加强对会计基础理论问题和会计实务问题的研究，增强理论成果对解决实务问题的针对性。</w:t>
      </w:r>
    </w:p>
    <w:p>
      <w:pPr>
        <w:ind w:left="1042" w:right="1055" w:firstLine="346"/>
        <w:spacing w:before="108" w:line="327" w:lineRule="auto"/>
        <w:rPr>
          <w:rFonts w:ascii="SimSun" w:hAnsi="SimSun" w:eastAsia="SimSun" w:cs="SimSun"/>
          <w:sz w:val="17"/>
          <w:szCs w:val="17"/>
        </w:rPr>
      </w:pPr>
      <w:r>
        <w:rPr>
          <w:rFonts w:ascii="SimSun" w:hAnsi="SimSun" w:eastAsia="SimSun" w:cs="SimSun"/>
          <w:sz w:val="17"/>
          <w:szCs w:val="17"/>
          <w:color w:val="333333"/>
          <w:spacing w:val="1"/>
        </w:rPr>
        <w:t>三是开展实务问题专题研究，积极组织理论和实务界专家挖掘实际工作中的问题，从实务角度对会计理论研究成果进行深化，</w:t>
      </w:r>
      <w:r>
        <w:rPr>
          <w:rFonts w:ascii="SimSun" w:hAnsi="SimSun" w:eastAsia="SimSun" w:cs="SimSun"/>
          <w:sz w:val="17"/>
          <w:szCs w:val="17"/>
          <w:color w:val="333333"/>
          <w:spacing w:val="48"/>
        </w:rPr>
        <w:t> </w:t>
      </w:r>
      <w:r>
        <w:rPr>
          <w:rFonts w:ascii="SimSun" w:hAnsi="SimSun" w:eastAsia="SimSun" w:cs="SimSun"/>
          <w:sz w:val="17"/>
          <w:szCs w:val="17"/>
          <w:color w:val="333333"/>
          <w:spacing w:val="1"/>
        </w:rPr>
        <w:t>进一步对初步研究成果进行完善，并对成型研究成果加以应用，切实使会计理论研究发挥促进会计改革与会计工作的作用。</w:t>
      </w:r>
    </w:p>
    <w:p>
      <w:pPr>
        <w:ind w:firstLine="539"/>
        <w:spacing w:before="299" w:line="218" w:lineRule="exact"/>
        <w:rPr>
          <w:rFonts w:ascii="Arial" w:hAnsi="Arial" w:eastAsia="Arial" w:cs="Arial"/>
          <w:sz w:val="16"/>
          <w:szCs w:val="16"/>
        </w:rPr>
      </w:pPr>
      <w:r>
        <w:rPr>
          <w:rFonts w:ascii="Arial" w:hAnsi="Arial" w:eastAsia="Arial" w:cs="Arial"/>
          <w:sz w:val="16"/>
          <w:szCs w:val="16"/>
          <w:spacing w:val="-1"/>
        </w:rPr>
        <w:t>kjs.mof.gov.cn/zhengcejiedu/202204/t20220421_3804563.htm</w:t>
      </w:r>
      <w:r>
        <w:rPr>
          <w:rFonts w:ascii="Arial" w:hAnsi="Arial" w:eastAsia="Arial" w:cs="Arial"/>
          <w:sz w:val="16"/>
          <w:szCs w:val="16"/>
        </w:rPr>
        <w:t>                                                                                                                                            </w:t>
      </w:r>
      <w:r>
        <w:rPr>
          <w:rFonts w:ascii="Arial" w:hAnsi="Arial" w:eastAsia="Arial" w:cs="Arial"/>
          <w:sz w:val="16"/>
          <w:szCs w:val="16"/>
          <w:spacing w:val="-1"/>
        </w:rPr>
        <w:t>3/5</w:t>
      </w:r>
    </w:p>
    <w:p>
      <w:pPr>
        <w:sectPr>
          <w:pgSz w:w="11900" w:h="16839"/>
          <w:pgMar w:top="0" w:right="0" w:bottom="0" w:left="0" w:header="0" w:footer="0" w:gutter="0"/>
        </w:sectPr>
        <w:rPr/>
      </w:pPr>
    </w:p>
    <w:p>
      <w:pPr>
        <w:ind w:firstLine="533"/>
        <w:spacing w:line="204"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1"/>
          <w:position w:val="1"/>
        </w:rPr>
        <w:t>                                 </w:t>
      </w:r>
      <w:r>
        <w:rPr>
          <w:rFonts w:ascii="Microsoft YaHei" w:hAnsi="Microsoft YaHei" w:eastAsia="Microsoft YaHei" w:cs="Microsoft YaHei"/>
          <w:sz w:val="16"/>
          <w:szCs w:val="16"/>
          <w:spacing w:val="-2"/>
        </w:rPr>
        <w:t>加强会计理论与实务研究</w:t>
      </w:r>
      <w:r>
        <w:rPr>
          <w:rFonts w:ascii="Microsoft YaHei" w:hAnsi="Microsoft YaHei" w:eastAsia="Microsoft YaHei" w:cs="Microsoft YaHei"/>
          <w:sz w:val="16"/>
          <w:szCs w:val="16"/>
          <w:spacing w:val="6"/>
        </w:rPr>
        <w:t>      </w:t>
      </w:r>
      <w:r>
        <w:rPr>
          <w:rFonts w:ascii="Microsoft YaHei" w:hAnsi="Microsoft YaHei" w:eastAsia="Microsoft YaHei" w:cs="Microsoft YaHei"/>
          <w:sz w:val="16"/>
          <w:szCs w:val="16"/>
          <w:spacing w:val="-2"/>
        </w:rPr>
        <w:t>推动经济社会高质量发展</w:t>
      </w:r>
      <w:r>
        <w:rPr>
          <w:rFonts w:ascii="Arial" w:hAnsi="Arial" w:eastAsia="Arial" w:cs="Arial"/>
          <w:sz w:val="16"/>
          <w:szCs w:val="16"/>
          <w:spacing w:val="-2"/>
        </w:rPr>
        <w:t>——</w:t>
      </w:r>
      <w:r>
        <w:rPr>
          <w:rFonts w:ascii="Arial" w:hAnsi="Arial" w:eastAsia="Arial" w:cs="Arial"/>
          <w:sz w:val="16"/>
          <w:szCs w:val="16"/>
          <w:spacing w:val="34"/>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规划纲要》系列解读之十</w:t>
      </w:r>
    </w:p>
    <w:p>
      <w:pPr>
        <w:ind w:firstLine="1394"/>
        <w:spacing w:before="119" w:line="187" w:lineRule="auto"/>
        <w:rPr>
          <w:rFonts w:ascii="SimSun" w:hAnsi="SimSun" w:eastAsia="SimSun" w:cs="SimSun"/>
          <w:sz w:val="17"/>
          <w:szCs w:val="17"/>
        </w:rPr>
      </w:pPr>
      <w:r>
        <w:rPr>
          <w:rFonts w:ascii="SimSun" w:hAnsi="SimSun" w:eastAsia="SimSun" w:cs="SimSun"/>
          <w:sz w:val="17"/>
          <w:szCs w:val="17"/>
          <w:color w:val="333333"/>
        </w:rPr>
        <w:t>（三）加强高端人才培养，建设专业智库平台。</w:t>
      </w:r>
    </w:p>
    <w:p>
      <w:pPr>
        <w:ind w:firstLine="1389"/>
        <w:spacing w:before="236" w:line="187" w:lineRule="auto"/>
        <w:rPr>
          <w:rFonts w:ascii="SimSun" w:hAnsi="SimSun" w:eastAsia="SimSun" w:cs="SimSun"/>
          <w:sz w:val="17"/>
          <w:szCs w:val="17"/>
        </w:rPr>
      </w:pPr>
      <w:r>
        <w:rPr>
          <w:rFonts w:ascii="SimSun" w:hAnsi="SimSun" w:eastAsia="SimSun" w:cs="SimSun"/>
          <w:sz w:val="17"/>
          <w:szCs w:val="17"/>
          <w:color w:val="333333"/>
          <w:spacing w:val="2"/>
        </w:rPr>
        <w:t>着力推动会计专业智库建设，更好利用会计专家的智力优势，发挥会计专家在科研、教育和人才培养等方面的引领辐射作用，</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推动会计学科和会计行业发展。</w:t>
      </w:r>
    </w:p>
    <w:p>
      <w:pPr>
        <w:ind w:firstLine="1392"/>
        <w:spacing w:before="236" w:line="187" w:lineRule="auto"/>
        <w:rPr>
          <w:rFonts w:ascii="SimSun" w:hAnsi="SimSun" w:eastAsia="SimSun" w:cs="SimSun"/>
          <w:sz w:val="17"/>
          <w:szCs w:val="17"/>
        </w:rPr>
      </w:pPr>
      <w:r>
        <w:rPr>
          <w:rFonts w:ascii="SimSun" w:hAnsi="SimSun" w:eastAsia="SimSun" w:cs="SimSun"/>
          <w:sz w:val="17"/>
          <w:szCs w:val="17"/>
          <w:color w:val="333333"/>
          <w:spacing w:val="2"/>
        </w:rPr>
        <w:t>一是用好会计名家培养工程平台，积极开展科普宣传、基层调研、跨学科交流等社会活动，发挥名家在科研、教育和人才培养</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方面的引领作用。</w:t>
      </w:r>
    </w:p>
    <w:p>
      <w:pPr>
        <w:ind w:firstLine="1392"/>
        <w:spacing w:before="237" w:line="187" w:lineRule="auto"/>
        <w:rPr>
          <w:rFonts w:ascii="SimSun" w:hAnsi="SimSun" w:eastAsia="SimSun" w:cs="SimSun"/>
          <w:sz w:val="17"/>
          <w:szCs w:val="17"/>
        </w:rPr>
      </w:pPr>
      <w:r>
        <w:rPr>
          <w:rFonts w:ascii="SimSun" w:hAnsi="SimSun" w:eastAsia="SimSun" w:cs="SimSun"/>
          <w:sz w:val="17"/>
          <w:szCs w:val="17"/>
          <w:color w:val="333333"/>
          <w:spacing w:val="1"/>
        </w:rPr>
        <w:t>二是做好高层次财会人才素质提升工程（学术类）</w:t>
      </w:r>
      <w:r>
        <w:rPr>
          <w:rFonts w:ascii="SimSun" w:hAnsi="SimSun" w:eastAsia="SimSun" w:cs="SimSun"/>
          <w:sz w:val="17"/>
          <w:szCs w:val="17"/>
          <w:color w:val="333333"/>
        </w:rPr>
        <w:t> </w:t>
      </w:r>
      <w:r>
        <w:rPr>
          <w:rFonts w:ascii="SimSun" w:hAnsi="SimSun" w:eastAsia="SimSun" w:cs="SimSun"/>
          <w:sz w:val="17"/>
          <w:szCs w:val="17"/>
          <w:color w:val="333333"/>
          <w:spacing w:val="1"/>
        </w:rPr>
        <w:t>培养工作，通过优化培训课程设计、组织重点课题研究等方式提高培养工作</w:t>
      </w:r>
    </w:p>
    <w:p>
      <w:pPr>
        <w:ind w:firstLine="1058"/>
        <w:spacing w:before="129" w:line="187" w:lineRule="auto"/>
        <w:rPr>
          <w:rFonts w:ascii="SimSun" w:hAnsi="SimSun" w:eastAsia="SimSun" w:cs="SimSun"/>
          <w:sz w:val="17"/>
          <w:szCs w:val="17"/>
        </w:rPr>
      </w:pPr>
      <w:r>
        <w:rPr>
          <w:rFonts w:ascii="SimSun" w:hAnsi="SimSun" w:eastAsia="SimSun" w:cs="SimSun"/>
          <w:sz w:val="17"/>
          <w:szCs w:val="17"/>
          <w:color w:val="333333"/>
          <w:spacing w:val="1"/>
        </w:rPr>
        <w:t>的质量，引导组织青年学者关注会计改革中的实际问题，更好地服务中国财政会计改革实践。</w:t>
      </w:r>
    </w:p>
    <w:p>
      <w:pPr>
        <w:ind w:firstLine="1389"/>
        <w:spacing w:before="236" w:line="187" w:lineRule="auto"/>
        <w:rPr>
          <w:rFonts w:ascii="SimSun" w:hAnsi="SimSun" w:eastAsia="SimSun" w:cs="SimSun"/>
          <w:sz w:val="17"/>
          <w:szCs w:val="17"/>
        </w:rPr>
      </w:pPr>
      <w:r>
        <w:rPr>
          <w:rFonts w:ascii="SimSun" w:hAnsi="SimSun" w:eastAsia="SimSun" w:cs="SimSun"/>
          <w:sz w:val="17"/>
          <w:szCs w:val="17"/>
          <w:color w:val="333333"/>
          <w:spacing w:val="2"/>
        </w:rPr>
        <w:t>三是突出一线科研工作的主体地位，广泛动员会计教学和实务工作的基层人员参与会计理论研究。按照“产、学、研”一体化</w:t>
      </w:r>
    </w:p>
    <w:p>
      <w:pPr>
        <w:ind w:firstLine="1058"/>
        <w:spacing w:before="130" w:line="187" w:lineRule="auto"/>
        <w:rPr>
          <w:rFonts w:ascii="SimSun" w:hAnsi="SimSun" w:eastAsia="SimSun" w:cs="SimSun"/>
          <w:sz w:val="17"/>
          <w:szCs w:val="17"/>
        </w:rPr>
      </w:pPr>
      <w:r>
        <w:rPr>
          <w:rFonts w:ascii="SimSun" w:hAnsi="SimSun" w:eastAsia="SimSun" w:cs="SimSun"/>
          <w:sz w:val="17"/>
          <w:szCs w:val="17"/>
          <w:color w:val="333333"/>
          <w:spacing w:val="2"/>
        </w:rPr>
        <w:t>的发展思路，通过多元化的教育、培训等方式，利用线上线下的灵活技术手段，优化人才培养结构，完善人才培养机制，为社会提</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供理论基础扎实、实践经验丰富的会计人才。</w:t>
      </w:r>
    </w:p>
    <w:p>
      <w:pPr>
        <w:ind w:firstLine="1405"/>
        <w:spacing w:before="236" w:line="187" w:lineRule="auto"/>
        <w:rPr>
          <w:rFonts w:ascii="SimSun" w:hAnsi="SimSun" w:eastAsia="SimSun" w:cs="SimSun"/>
          <w:sz w:val="17"/>
          <w:szCs w:val="17"/>
        </w:rPr>
      </w:pPr>
      <w:r>
        <w:rPr>
          <w:rFonts w:ascii="SimSun" w:hAnsi="SimSun" w:eastAsia="SimSun" w:cs="SimSun"/>
          <w:sz w:val="17"/>
          <w:szCs w:val="17"/>
          <w:color w:val="333333"/>
          <w:spacing w:val="2"/>
        </w:rPr>
        <w:t>四是通过研究专报、成果要报、专栏专题等形式，为会计人才提供展示研究成果的平台。一方面，为国家和社会了解经济社会</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rPr>
        <w:t>发展和财政会计改革相关科研进展提供多元化的渠道；</w:t>
      </w:r>
      <w:r>
        <w:rPr>
          <w:rFonts w:ascii="SimSun" w:hAnsi="SimSun" w:eastAsia="SimSun" w:cs="SimSun"/>
          <w:sz w:val="17"/>
          <w:szCs w:val="17"/>
          <w:color w:val="333333"/>
          <w:spacing w:val="60"/>
          <w:w w:val="101"/>
        </w:rPr>
        <w:t> </w:t>
      </w:r>
      <w:r>
        <w:rPr>
          <w:rFonts w:ascii="SimSun" w:hAnsi="SimSun" w:eastAsia="SimSun" w:cs="SimSun"/>
          <w:sz w:val="17"/>
          <w:szCs w:val="17"/>
          <w:color w:val="333333"/>
        </w:rPr>
        <w:t>另一方面，为国家有关政策、制度和措施的制定实施服务，提升会计理论的</w:t>
      </w:r>
    </w:p>
    <w:p>
      <w:pPr>
        <w:ind w:firstLine="1046"/>
        <w:spacing w:before="130" w:line="187" w:lineRule="auto"/>
        <w:rPr>
          <w:rFonts w:ascii="SimSun" w:hAnsi="SimSun" w:eastAsia="SimSun" w:cs="SimSun"/>
          <w:sz w:val="17"/>
          <w:szCs w:val="17"/>
        </w:rPr>
      </w:pPr>
      <w:r>
        <w:rPr>
          <w:rFonts w:ascii="SimSun" w:hAnsi="SimSun" w:eastAsia="SimSun" w:cs="SimSun"/>
          <w:sz w:val="17"/>
          <w:szCs w:val="17"/>
          <w:color w:val="333333"/>
        </w:rPr>
        <w:t>指导能力和监督效果，并且力图有新的突破。</w:t>
      </w:r>
    </w:p>
    <w:p>
      <w:pPr>
        <w:ind w:firstLine="1392"/>
        <w:spacing w:before="236" w:line="187" w:lineRule="auto"/>
        <w:rPr>
          <w:rFonts w:ascii="SimSun" w:hAnsi="SimSun" w:eastAsia="SimSun" w:cs="SimSun"/>
          <w:sz w:val="17"/>
          <w:szCs w:val="17"/>
        </w:rPr>
      </w:pPr>
      <w:r>
        <w:rPr>
          <w:rFonts w:ascii="SimSun" w:hAnsi="SimSun" w:eastAsia="SimSun" w:cs="SimSun"/>
          <w:sz w:val="17"/>
          <w:szCs w:val="17"/>
          <w:color w:val="333333"/>
          <w:spacing w:val="2"/>
        </w:rPr>
        <w:t>五是引领人才培养转型。发展的新阶段面临新的任务和挑战，涌现的新技术和新方法也为新时期的会计研究工作提供了技术基</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2"/>
        </w:rPr>
        <w:t>础，重视新技术发展带来的人才需求的变化，积极优化人才培养机制，促进会计人才转型，为会计理论和实务界输出新时代的会计</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7"/>
        </w:rPr>
        <w:t>人才。</w:t>
      </w:r>
    </w:p>
    <w:p>
      <w:pPr>
        <w:ind w:firstLine="1394"/>
        <w:spacing w:before="237" w:line="187" w:lineRule="auto"/>
        <w:rPr>
          <w:rFonts w:ascii="SimSun" w:hAnsi="SimSun" w:eastAsia="SimSun" w:cs="SimSun"/>
          <w:sz w:val="17"/>
          <w:szCs w:val="17"/>
        </w:rPr>
      </w:pPr>
      <w:r>
        <w:rPr>
          <w:rFonts w:ascii="SimSun" w:hAnsi="SimSun" w:eastAsia="SimSun" w:cs="SimSun"/>
          <w:sz w:val="17"/>
          <w:szCs w:val="17"/>
          <w:color w:val="333333"/>
          <w:spacing w:val="-1"/>
        </w:rPr>
        <w:t>（四）完善理论研究机制。</w:t>
      </w:r>
    </w:p>
    <w:p>
      <w:pPr>
        <w:ind w:firstLine="1401"/>
        <w:spacing w:before="237" w:line="187" w:lineRule="auto"/>
        <w:rPr>
          <w:rFonts w:ascii="SimSun" w:hAnsi="SimSun" w:eastAsia="SimSun" w:cs="SimSun"/>
          <w:sz w:val="17"/>
          <w:szCs w:val="17"/>
        </w:rPr>
      </w:pPr>
      <w:r>
        <w:rPr>
          <w:rFonts w:ascii="SimSun" w:hAnsi="SimSun" w:eastAsia="SimSun" w:cs="SimSun"/>
          <w:sz w:val="17"/>
          <w:szCs w:val="17"/>
          <w:color w:val="333333"/>
          <w:spacing w:val="-2"/>
        </w:rPr>
        <w:t>1.完善学术活动机制。</w:t>
      </w:r>
    </w:p>
    <w:p>
      <w:pPr>
        <w:ind w:firstLine="1402"/>
        <w:spacing w:before="236" w:line="187" w:lineRule="auto"/>
        <w:rPr>
          <w:rFonts w:ascii="SimSun" w:hAnsi="SimSun" w:eastAsia="SimSun" w:cs="SimSun"/>
          <w:sz w:val="17"/>
          <w:szCs w:val="17"/>
        </w:rPr>
      </w:pPr>
      <w:r>
        <w:rPr>
          <w:rFonts w:ascii="SimSun" w:hAnsi="SimSun" w:eastAsia="SimSun" w:cs="SimSun"/>
          <w:sz w:val="17"/>
          <w:szCs w:val="17"/>
          <w:color w:val="333333"/>
          <w:spacing w:val="5"/>
        </w:rPr>
        <w:t>聚焦新时期的重大、难点问题，坚持问题导向，积极举办各项学术活动，完善学术年会、专题研讨，专门论坛等学术活动机</w:t>
      </w:r>
    </w:p>
    <w:p>
      <w:pPr>
        <w:ind w:firstLine="1044"/>
        <w:spacing w:before="130" w:line="187" w:lineRule="auto"/>
        <w:rPr>
          <w:rFonts w:ascii="SimSun" w:hAnsi="SimSun" w:eastAsia="SimSun" w:cs="SimSun"/>
          <w:sz w:val="17"/>
          <w:szCs w:val="17"/>
        </w:rPr>
      </w:pPr>
      <w:r>
        <w:rPr>
          <w:rFonts w:ascii="SimSun" w:hAnsi="SimSun" w:eastAsia="SimSun" w:cs="SimSun"/>
          <w:sz w:val="17"/>
          <w:szCs w:val="17"/>
          <w:color w:val="333333"/>
        </w:rPr>
        <w:t>制，进一步创新理论研究成果的转化应用机制。</w:t>
      </w:r>
    </w:p>
    <w:p>
      <w:pPr>
        <w:ind w:firstLine="1392"/>
        <w:spacing w:before="236" w:line="187" w:lineRule="auto"/>
        <w:rPr>
          <w:rFonts w:ascii="SimSun" w:hAnsi="SimSun" w:eastAsia="SimSun" w:cs="SimSun"/>
          <w:sz w:val="17"/>
          <w:szCs w:val="17"/>
        </w:rPr>
      </w:pPr>
      <w:r>
        <w:rPr>
          <w:rFonts w:ascii="SimSun" w:hAnsi="SimSun" w:eastAsia="SimSun" w:cs="SimSun"/>
          <w:sz w:val="17"/>
          <w:szCs w:val="17"/>
          <w:color w:val="333333"/>
          <w:spacing w:val="2"/>
        </w:rPr>
        <w:t>一是组织理论学者和会计实务工作者，开展各类学术和科研活动，明确学术活动主题，针对学术界普遍关注的热点问题和当前</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1"/>
        </w:rPr>
        <w:t>会计改革发展的重难点问题，推出具有理论引领意义和应用价值的研究成果，推动建立会计理论创新和发展的学术交流平台。</w:t>
      </w:r>
    </w:p>
    <w:p>
      <w:pPr>
        <w:ind w:firstLine="1392"/>
        <w:spacing w:before="237" w:line="187" w:lineRule="auto"/>
        <w:rPr>
          <w:rFonts w:ascii="SimSun" w:hAnsi="SimSun" w:eastAsia="SimSun" w:cs="SimSun"/>
          <w:sz w:val="17"/>
          <w:szCs w:val="17"/>
        </w:rPr>
      </w:pPr>
      <w:r>
        <w:rPr>
          <w:rFonts w:ascii="SimSun" w:hAnsi="SimSun" w:eastAsia="SimSun" w:cs="SimSun"/>
          <w:sz w:val="17"/>
          <w:szCs w:val="17"/>
          <w:color w:val="333333"/>
          <w:spacing w:val="2"/>
        </w:rPr>
        <w:t>二是组织相关领域的人才针对会计标准体系建设、会计准则趋同等对实践具有指导意义的选题开展深入研究与专题研讨，不断</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创新、积极进取，推动先进理论的建立和验证。</w:t>
      </w:r>
    </w:p>
    <w:p>
      <w:pPr>
        <w:ind w:firstLine="1390"/>
        <w:spacing w:before="237" w:line="187" w:lineRule="auto"/>
        <w:rPr>
          <w:rFonts w:ascii="SimSun" w:hAnsi="SimSun" w:eastAsia="SimSun" w:cs="SimSun"/>
          <w:sz w:val="17"/>
          <w:szCs w:val="17"/>
        </w:rPr>
      </w:pPr>
      <w:r>
        <w:rPr>
          <w:rFonts w:ascii="SimSun" w:hAnsi="SimSun" w:eastAsia="SimSun" w:cs="SimSun"/>
          <w:sz w:val="17"/>
          <w:szCs w:val="17"/>
          <w:color w:val="333333"/>
          <w:spacing w:val="-2"/>
        </w:rPr>
        <w:t>2.优化学术评价机制。</w:t>
      </w:r>
    </w:p>
    <w:p>
      <w:pPr>
        <w:ind w:firstLine="1387"/>
        <w:spacing w:before="236" w:line="187" w:lineRule="auto"/>
        <w:rPr>
          <w:rFonts w:ascii="SimSun" w:hAnsi="SimSun" w:eastAsia="SimSun" w:cs="SimSun"/>
          <w:sz w:val="17"/>
          <w:szCs w:val="17"/>
        </w:rPr>
      </w:pPr>
      <w:r>
        <w:rPr>
          <w:rFonts w:ascii="SimSun" w:hAnsi="SimSun" w:eastAsia="SimSun" w:cs="SimSun"/>
          <w:sz w:val="17"/>
          <w:szCs w:val="17"/>
          <w:color w:val="333333"/>
          <w:spacing w:val="1"/>
        </w:rPr>
        <w:t>会计科研成果的评价应坚持为会计发展服务的原则，提高评价体系的科学性，完善成果评价标准，倡导会计学术创新。</w:t>
      </w:r>
    </w:p>
    <w:p>
      <w:pPr>
        <w:ind w:firstLine="1392"/>
        <w:spacing w:before="237" w:line="187" w:lineRule="auto"/>
        <w:rPr>
          <w:rFonts w:ascii="SimSun" w:hAnsi="SimSun" w:eastAsia="SimSun" w:cs="SimSun"/>
          <w:sz w:val="17"/>
          <w:szCs w:val="17"/>
        </w:rPr>
      </w:pPr>
      <w:r>
        <w:rPr>
          <w:rFonts w:ascii="SimSun" w:hAnsi="SimSun" w:eastAsia="SimSun" w:cs="SimSun"/>
          <w:sz w:val="17"/>
          <w:szCs w:val="17"/>
          <w:color w:val="333333"/>
          <w:spacing w:val="2"/>
        </w:rPr>
        <w:t>一是优化学术期刊选稿用稿工作，进一步提高稿件质量，扩大稿件来源，在全面考虑稿件工作质量、学术水平、应用价值等方</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面的基础上给予客观的评价。发挥权威学术期刊的导向和引领作用，配合会计改革中的重点问题，刊登理论研究成果，调动研究的</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积极性，从而推进会计理论与实务研究加速发展。</w:t>
      </w:r>
    </w:p>
    <w:p>
      <w:pPr>
        <w:ind w:firstLine="1395"/>
        <w:spacing w:before="237" w:line="187" w:lineRule="auto"/>
        <w:rPr>
          <w:rFonts w:ascii="SimSun" w:hAnsi="SimSun" w:eastAsia="SimSun" w:cs="SimSun"/>
          <w:sz w:val="17"/>
          <w:szCs w:val="17"/>
        </w:rPr>
      </w:pPr>
      <w:r>
        <w:rPr>
          <w:rFonts w:ascii="SimSun" w:hAnsi="SimSun" w:eastAsia="SimSun" w:cs="SimSun"/>
          <w:sz w:val="17"/>
          <w:szCs w:val="17"/>
          <w:color w:val="333333"/>
          <w:spacing w:val="4"/>
        </w:rPr>
        <w:t>二是论文评选呈报方面,将不断完善科研成果评价体系，积极推动优秀论文、杨纪琬会计学奖学金等奖项的评选与宣传工作，</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推动优良学风建立。积极组织相关领域的专家对重点学术研究成果进行严格评审，对专家评价较高的成果进行整理汇编，向相关部</w:t>
      </w:r>
    </w:p>
    <w:p>
      <w:pPr>
        <w:ind w:firstLine="1063"/>
        <w:spacing w:before="129" w:line="187" w:lineRule="auto"/>
        <w:rPr>
          <w:rFonts w:ascii="SimSun" w:hAnsi="SimSun" w:eastAsia="SimSun" w:cs="SimSun"/>
          <w:sz w:val="17"/>
          <w:szCs w:val="17"/>
        </w:rPr>
      </w:pPr>
      <w:r>
        <w:rPr>
          <w:rFonts w:ascii="SimSun" w:hAnsi="SimSun" w:eastAsia="SimSun" w:cs="SimSun"/>
          <w:sz w:val="17"/>
          <w:szCs w:val="17"/>
          <w:color w:val="333333"/>
          <w:spacing w:val="-1"/>
        </w:rPr>
        <w:t>门进行推荐，进一步促进科研成果转化。</w:t>
      </w:r>
    </w:p>
    <w:p>
      <w:pPr>
        <w:ind w:firstLine="1389"/>
        <w:spacing w:before="237" w:line="187" w:lineRule="auto"/>
        <w:rPr>
          <w:rFonts w:ascii="SimSun" w:hAnsi="SimSun" w:eastAsia="SimSun" w:cs="SimSun"/>
          <w:sz w:val="17"/>
          <w:szCs w:val="17"/>
        </w:rPr>
      </w:pPr>
      <w:r>
        <w:rPr>
          <w:rFonts w:ascii="SimSun" w:hAnsi="SimSun" w:eastAsia="SimSun" w:cs="SimSun"/>
          <w:sz w:val="17"/>
          <w:szCs w:val="17"/>
          <w:color w:val="333333"/>
          <w:spacing w:val="2"/>
        </w:rPr>
        <w:t>三是人才选拔与推荐方面，进一步完善“全国高端会计人才培养工程”“会计名家培养工程”等人才培养机制，加强人才制度</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rPr>
        <w:t>建设，不断壮大人才队伍，造就与会计改革发展相适应的人才队伍。</w:t>
      </w:r>
    </w:p>
    <w:p>
      <w:pPr>
        <w:ind w:firstLine="1391"/>
        <w:spacing w:before="237" w:line="187" w:lineRule="auto"/>
        <w:rPr>
          <w:rFonts w:ascii="SimSun" w:hAnsi="SimSun" w:eastAsia="SimSun" w:cs="SimSun"/>
          <w:sz w:val="17"/>
          <w:szCs w:val="17"/>
        </w:rPr>
      </w:pPr>
      <w:r>
        <w:rPr>
          <w:rFonts w:ascii="SimSun" w:hAnsi="SimSun" w:eastAsia="SimSun" w:cs="SimSun"/>
          <w:sz w:val="17"/>
          <w:szCs w:val="17"/>
          <w:color w:val="333333"/>
          <w:spacing w:val="-2"/>
        </w:rPr>
        <w:t>3.创新学术工作机制。</w:t>
      </w:r>
    </w:p>
    <w:p>
      <w:pPr>
        <w:ind w:firstLine="1389"/>
        <w:spacing w:before="236" w:line="187" w:lineRule="auto"/>
        <w:rPr>
          <w:rFonts w:ascii="SimSun" w:hAnsi="SimSun" w:eastAsia="SimSun" w:cs="SimSun"/>
          <w:sz w:val="17"/>
          <w:szCs w:val="17"/>
        </w:rPr>
      </w:pPr>
      <w:r>
        <w:rPr>
          <w:rFonts w:ascii="SimSun" w:hAnsi="SimSun" w:eastAsia="SimSun" w:cs="SimSun"/>
          <w:sz w:val="17"/>
          <w:szCs w:val="17"/>
          <w:color w:val="333333"/>
          <w:spacing w:val="1"/>
        </w:rPr>
        <w:t>财政部将监督和引导国家会计学院和会计行业组织（社团）的自身建设，创新工作机制。</w:t>
      </w:r>
    </w:p>
    <w:p>
      <w:pPr>
        <w:ind w:firstLine="1392"/>
        <w:spacing w:before="237" w:line="187" w:lineRule="auto"/>
        <w:rPr>
          <w:rFonts w:ascii="SimSun" w:hAnsi="SimSun" w:eastAsia="SimSun" w:cs="SimSun"/>
          <w:sz w:val="17"/>
          <w:szCs w:val="17"/>
        </w:rPr>
      </w:pPr>
      <w:r>
        <w:rPr>
          <w:rFonts w:ascii="SimSun" w:hAnsi="SimSun" w:eastAsia="SimSun" w:cs="SimSun"/>
          <w:sz w:val="17"/>
          <w:szCs w:val="17"/>
          <w:color w:val="333333"/>
        </w:rPr>
        <w:t>一是推动国家会计学院、会计行业组织（社团）</w:t>
      </w:r>
      <w:r>
        <w:rPr>
          <w:rFonts w:ascii="SimSun" w:hAnsi="SimSun" w:eastAsia="SimSun" w:cs="SimSun"/>
          <w:sz w:val="17"/>
          <w:szCs w:val="17"/>
          <w:color w:val="333333"/>
          <w:spacing w:val="55"/>
        </w:rPr>
        <w:t> </w:t>
      </w:r>
      <w:r>
        <w:rPr>
          <w:rFonts w:ascii="SimSun" w:hAnsi="SimSun" w:eastAsia="SimSun" w:cs="SimSun"/>
          <w:sz w:val="17"/>
          <w:szCs w:val="17"/>
          <w:color w:val="333333"/>
        </w:rPr>
        <w:t>的相互配合，加强各组织之间的沟通交流，进一步密切工作关系，在完善现有</w:t>
      </w:r>
    </w:p>
    <w:p>
      <w:pPr>
        <w:ind w:firstLine="1063"/>
        <w:spacing w:before="129" w:line="187" w:lineRule="auto"/>
        <w:rPr>
          <w:rFonts w:ascii="SimSun" w:hAnsi="SimSun" w:eastAsia="SimSun" w:cs="SimSun"/>
          <w:sz w:val="17"/>
          <w:szCs w:val="17"/>
        </w:rPr>
      </w:pPr>
      <w:r>
        <w:rPr>
          <w:rFonts w:ascii="SimSun" w:hAnsi="SimSun" w:eastAsia="SimSun" w:cs="SimSun"/>
          <w:sz w:val="17"/>
          <w:szCs w:val="17"/>
          <w:color w:val="333333"/>
          <w:spacing w:val="2"/>
        </w:rPr>
        <w:t>以中国会计学会为主体，地方会计学会为支撑，各级各类专业会计学会为补充的会计学术组织体系的基础上，建立各类会计学会及</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其所属机构分工合作的学术工作机制，逐步形成以中国会计学会为引领，服务全国、协同高效的会计理论研究体系。</w:t>
      </w:r>
    </w:p>
    <w:p>
      <w:pPr>
        <w:ind w:firstLine="1392"/>
        <w:spacing w:before="237" w:line="187" w:lineRule="auto"/>
        <w:rPr>
          <w:rFonts w:ascii="SimSun" w:hAnsi="SimSun" w:eastAsia="SimSun" w:cs="SimSun"/>
          <w:sz w:val="17"/>
          <w:szCs w:val="17"/>
        </w:rPr>
      </w:pPr>
      <w:r>
        <w:rPr>
          <w:rFonts w:ascii="SimSun" w:hAnsi="SimSun" w:eastAsia="SimSun" w:cs="SimSun"/>
          <w:sz w:val="17"/>
          <w:szCs w:val="17"/>
          <w:color w:val="333333"/>
          <w:spacing w:val="2"/>
        </w:rPr>
        <w:t>二是积极拓展研究领域，创新研究方法，推动会计理论与实务研究的进步，结合会计改革发展进程组织开展案例研究，讲好中</w:t>
      </w:r>
    </w:p>
    <w:p>
      <w:pPr>
        <w:ind w:firstLine="1060"/>
        <w:spacing w:before="129" w:line="187" w:lineRule="auto"/>
        <w:rPr>
          <w:rFonts w:ascii="SimSun" w:hAnsi="SimSun" w:eastAsia="SimSun" w:cs="SimSun"/>
          <w:sz w:val="17"/>
          <w:szCs w:val="17"/>
        </w:rPr>
      </w:pPr>
      <w:r>
        <w:rPr>
          <w:rFonts w:ascii="SimSun" w:hAnsi="SimSun" w:eastAsia="SimSun" w:cs="SimSun"/>
          <w:sz w:val="17"/>
          <w:szCs w:val="17"/>
          <w:color w:val="333333"/>
          <w:spacing w:val="-8"/>
        </w:rPr>
        <w:t>国故事。</w:t>
      </w:r>
    </w:p>
    <w:p>
      <w:pPr>
        <w:ind w:firstLine="1394"/>
        <w:spacing w:before="237" w:line="187" w:lineRule="auto"/>
        <w:rPr>
          <w:rFonts w:ascii="SimSun" w:hAnsi="SimSun" w:eastAsia="SimSun" w:cs="SimSun"/>
          <w:sz w:val="17"/>
          <w:szCs w:val="17"/>
        </w:rPr>
      </w:pPr>
      <w:r>
        <w:rPr>
          <w:rFonts w:ascii="SimSun" w:hAnsi="SimSun" w:eastAsia="SimSun" w:cs="SimSun"/>
          <w:sz w:val="17"/>
          <w:szCs w:val="17"/>
          <w:color w:val="333333"/>
          <w:spacing w:val="-1"/>
        </w:rPr>
        <w:t>（五）深化国际学术交流。</w:t>
      </w:r>
    </w:p>
    <w:p>
      <w:pPr>
        <w:ind w:firstLine="1401"/>
        <w:spacing w:before="236" w:line="187" w:lineRule="auto"/>
        <w:rPr>
          <w:rFonts w:ascii="SimSun" w:hAnsi="SimSun" w:eastAsia="SimSun" w:cs="SimSun"/>
          <w:sz w:val="17"/>
          <w:szCs w:val="17"/>
        </w:rPr>
      </w:pPr>
      <w:r>
        <w:rPr>
          <w:rFonts w:ascii="SimSun" w:hAnsi="SimSun" w:eastAsia="SimSun" w:cs="SimSun"/>
          <w:sz w:val="17"/>
          <w:szCs w:val="17"/>
          <w:color w:val="333333"/>
          <w:spacing w:val="-1"/>
        </w:rPr>
        <w:t>1.发挥国际学术交流平台作用。</w:t>
      </w:r>
    </w:p>
    <w:p>
      <w:pPr>
        <w:spacing w:line="393"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kjs.mof.gov.cn/zhengcejiedu/202204/t20220421_3804563.htm</w:t>
      </w:r>
      <w:r>
        <w:rPr>
          <w:rFonts w:ascii="Arial" w:hAnsi="Arial" w:eastAsia="Arial" w:cs="Arial"/>
          <w:sz w:val="16"/>
          <w:szCs w:val="16"/>
          <w:w w:val="101"/>
        </w:rPr>
        <w:t>                                                                                                                                           </w:t>
      </w:r>
      <w:r>
        <w:rPr>
          <w:rFonts w:ascii="Arial" w:hAnsi="Arial" w:eastAsia="Arial" w:cs="Arial"/>
          <w:sz w:val="16"/>
          <w:szCs w:val="16"/>
          <w:spacing w:val="-1"/>
        </w:rPr>
        <w:t>4/5</w:t>
      </w:r>
    </w:p>
    <w:p>
      <w:pPr>
        <w:sectPr>
          <w:headerReference w:type="default" r:id="rId7"/>
          <w:pgSz w:w="11900" w:h="16839"/>
          <w:pgMar w:top="293" w:right="0" w:bottom="0" w:left="0" w:header="0" w:footer="0" w:gutter="0"/>
        </w:sectPr>
        <w:rPr/>
      </w:pPr>
    </w:p>
    <w:p>
      <w:pPr>
        <w:ind w:firstLine="533"/>
        <w:spacing w:line="204" w:lineRule="auto"/>
        <w:rPr>
          <w:rFonts w:ascii="Microsoft YaHei" w:hAnsi="Microsoft YaHei" w:eastAsia="Microsoft YaHei" w:cs="Microsoft YaHei"/>
          <w:sz w:val="16"/>
          <w:szCs w:val="16"/>
        </w:rPr>
      </w:pPr>
      <w:r>
        <w:drawing>
          <wp:anchor distT="0" distB="0" distL="0" distR="0" simplePos="0" relativeHeight="251669504" behindDoc="0" locked="0" layoutInCell="0" allowOverlap="1">
            <wp:simplePos x="0" y="0"/>
            <wp:positionH relativeFrom="page">
              <wp:posOffset>5410758</wp:posOffset>
            </wp:positionH>
            <wp:positionV relativeFrom="page">
              <wp:posOffset>3019350</wp:posOffset>
            </wp:positionV>
            <wp:extent cx="150317" cy="150317"/>
            <wp:effectExtent l="0" t="0" r="0" b="0"/>
            <wp:wrapNone/>
            <wp:docPr id="4" name="IM 4"/>
            <wp:cNvGraphicFramePr/>
            <a:graphic>
              <a:graphicData uri="http://schemas.openxmlformats.org/drawingml/2006/picture">
                <pic:pic>
                  <pic:nvPicPr>
                    <pic:cNvPr id="4" name="IM 4"/>
                    <pic:cNvPicPr/>
                  </pic:nvPicPr>
                  <pic:blipFill>
                    <a:blip r:embed="rId9"/>
                    <a:stretch>
                      <a:fillRect/>
                    </a:stretch>
                  </pic:blipFill>
                  <pic:spPr>
                    <a:xfrm rot="0">
                      <a:off x="0" y="0"/>
                      <a:ext cx="150317" cy="150317"/>
                    </a:xfrm>
                    <a:prstGeom prst="rect">
                      <a:avLst/>
                    </a:prstGeom>
                  </pic:spPr>
                </pic:pic>
              </a:graphicData>
            </a:graphic>
          </wp:anchor>
        </w:drawing>
      </w:r>
      <w:r>
        <w:drawing>
          <wp:anchor distT="0" distB="0" distL="0" distR="0" simplePos="0" relativeHeight="251668480" behindDoc="0" locked="0" layoutInCell="0" allowOverlap="1">
            <wp:simplePos x="0" y="0"/>
            <wp:positionH relativeFrom="page">
              <wp:posOffset>457123</wp:posOffset>
            </wp:positionH>
            <wp:positionV relativeFrom="page">
              <wp:posOffset>3654787</wp:posOffset>
            </wp:positionV>
            <wp:extent cx="6648119" cy="6832"/>
            <wp:effectExtent l="0" t="0" r="0" b="0"/>
            <wp:wrapNone/>
            <wp:docPr id="5" name="IM 5"/>
            <wp:cNvGraphicFramePr/>
            <a:graphic>
              <a:graphicData uri="http://schemas.openxmlformats.org/drawingml/2006/picture">
                <pic:pic>
                  <pic:nvPicPr>
                    <pic:cNvPr id="5" name="IM 5"/>
                    <pic:cNvPicPr/>
                  </pic:nvPicPr>
                  <pic:blipFill>
                    <a:blip r:embed="rId10"/>
                    <a:stretch>
                      <a:fillRect/>
                    </a:stretch>
                  </pic:blipFill>
                  <pic:spPr>
                    <a:xfrm rot="0">
                      <a:off x="0" y="0"/>
                      <a:ext cx="6648119" cy="6832"/>
                    </a:xfrm>
                    <a:prstGeom prst="rect">
                      <a:avLst/>
                    </a:prstGeom>
                  </pic:spPr>
                </pic:pic>
              </a:graphicData>
            </a:graphic>
          </wp:anchor>
        </w:drawing>
      </w:r>
      <w:r>
        <w:drawing>
          <wp:anchor distT="0" distB="0" distL="0" distR="0" simplePos="0" relativeHeight="251666432" behindDoc="0" locked="0" layoutInCell="0" allowOverlap="1">
            <wp:simplePos x="0" y="0"/>
            <wp:positionH relativeFrom="page">
              <wp:posOffset>1304366</wp:posOffset>
            </wp:positionH>
            <wp:positionV relativeFrom="page">
              <wp:posOffset>4139895</wp:posOffset>
            </wp:positionV>
            <wp:extent cx="840409" cy="362129"/>
            <wp:effectExtent l="0" t="0" r="0" b="0"/>
            <wp:wrapNone/>
            <wp:docPr id="6" name="IM 6"/>
            <wp:cNvGraphicFramePr/>
            <a:graphic>
              <a:graphicData uri="http://schemas.openxmlformats.org/drawingml/2006/picture">
                <pic:pic>
                  <pic:nvPicPr>
                    <pic:cNvPr id="6" name="IM 6"/>
                    <pic:cNvPicPr/>
                  </pic:nvPicPr>
                  <pic:blipFill>
                    <a:blip r:embed="rId11"/>
                    <a:stretch>
                      <a:fillRect/>
                    </a:stretch>
                  </pic:blipFill>
                  <pic:spPr>
                    <a:xfrm rot="0">
                      <a:off x="0" y="0"/>
                      <a:ext cx="840409" cy="362129"/>
                    </a:xfrm>
                    <a:prstGeom prst="rect">
                      <a:avLst/>
                    </a:prstGeom>
                  </pic:spPr>
                </pic:pic>
              </a:graphicData>
            </a:graphic>
          </wp:anchor>
        </w:drawing>
      </w:r>
      <w:r>
        <w:drawing>
          <wp:anchor distT="0" distB="0" distL="0" distR="0" simplePos="0" relativeHeight="251667456" behindDoc="0" locked="0" layoutInCell="0" allowOverlap="1">
            <wp:simplePos x="0" y="0"/>
            <wp:positionH relativeFrom="page">
              <wp:posOffset>2172106</wp:posOffset>
            </wp:positionH>
            <wp:positionV relativeFrom="page">
              <wp:posOffset>4105733</wp:posOffset>
            </wp:positionV>
            <wp:extent cx="471449" cy="430453"/>
            <wp:effectExtent l="0" t="0" r="0" b="0"/>
            <wp:wrapNone/>
            <wp:docPr id="7" name="IM 7"/>
            <wp:cNvGraphicFramePr/>
            <a:graphic>
              <a:graphicData uri="http://schemas.openxmlformats.org/drawingml/2006/picture">
                <pic:pic>
                  <pic:nvPicPr>
                    <pic:cNvPr id="7" name="IM 7"/>
                    <pic:cNvPicPr/>
                  </pic:nvPicPr>
                  <pic:blipFill>
                    <a:blip r:embed="rId12"/>
                    <a:stretch>
                      <a:fillRect/>
                    </a:stretch>
                  </pic:blipFill>
                  <pic:spPr>
                    <a:xfrm rot="0">
                      <a:off x="0" y="0"/>
                      <a:ext cx="471449" cy="430453"/>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1"/>
          <w:position w:val="1"/>
        </w:rPr>
        <w:t>                                 </w:t>
      </w:r>
      <w:r>
        <w:rPr>
          <w:rFonts w:ascii="Microsoft YaHei" w:hAnsi="Microsoft YaHei" w:eastAsia="Microsoft YaHei" w:cs="Microsoft YaHei"/>
          <w:sz w:val="16"/>
          <w:szCs w:val="16"/>
          <w:spacing w:val="-2"/>
        </w:rPr>
        <w:t>加强会计理论与实务研究</w:t>
      </w:r>
      <w:r>
        <w:rPr>
          <w:rFonts w:ascii="Microsoft YaHei" w:hAnsi="Microsoft YaHei" w:eastAsia="Microsoft YaHei" w:cs="Microsoft YaHei"/>
          <w:sz w:val="16"/>
          <w:szCs w:val="16"/>
          <w:spacing w:val="6"/>
        </w:rPr>
        <w:t>      </w:t>
      </w:r>
      <w:r>
        <w:rPr>
          <w:rFonts w:ascii="Microsoft YaHei" w:hAnsi="Microsoft YaHei" w:eastAsia="Microsoft YaHei" w:cs="Microsoft YaHei"/>
          <w:sz w:val="16"/>
          <w:szCs w:val="16"/>
          <w:spacing w:val="-2"/>
        </w:rPr>
        <w:t>推动经济社会高质量发展</w:t>
      </w:r>
      <w:r>
        <w:rPr>
          <w:rFonts w:ascii="Arial" w:hAnsi="Arial" w:eastAsia="Arial" w:cs="Arial"/>
          <w:sz w:val="16"/>
          <w:szCs w:val="16"/>
          <w:spacing w:val="-2"/>
        </w:rPr>
        <w:t>——</w:t>
      </w:r>
      <w:r>
        <w:rPr>
          <w:rFonts w:ascii="Arial" w:hAnsi="Arial" w:eastAsia="Arial" w:cs="Arial"/>
          <w:sz w:val="16"/>
          <w:szCs w:val="16"/>
          <w:spacing w:val="34"/>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规划纲要》系列解读之十</w:t>
      </w:r>
    </w:p>
    <w:p>
      <w:pPr>
        <w:ind w:firstLine="1390"/>
        <w:spacing w:before="119" w:line="187" w:lineRule="auto"/>
        <w:rPr>
          <w:rFonts w:ascii="SimSun" w:hAnsi="SimSun" w:eastAsia="SimSun" w:cs="SimSun"/>
          <w:sz w:val="17"/>
          <w:szCs w:val="17"/>
        </w:rPr>
      </w:pPr>
      <w:r>
        <w:rPr>
          <w:rFonts w:ascii="SimSun" w:hAnsi="SimSun" w:eastAsia="SimSun" w:cs="SimSun"/>
          <w:sz w:val="17"/>
          <w:szCs w:val="17"/>
          <w:color w:val="333333"/>
          <w:spacing w:val="1"/>
        </w:rPr>
        <w:t>充分发挥中国会计学会、国家会计学院等有条件的专业组织、科研院校在深化会计国际学术交流中的平台作用。</w:t>
      </w:r>
    </w:p>
    <w:p>
      <w:pPr>
        <w:ind w:left="1043" w:right="1016" w:firstLine="355"/>
        <w:spacing w:before="237" w:line="327" w:lineRule="auto"/>
        <w:rPr>
          <w:rFonts w:ascii="SimSun" w:hAnsi="SimSun" w:eastAsia="SimSun" w:cs="SimSun"/>
          <w:sz w:val="17"/>
          <w:szCs w:val="17"/>
        </w:rPr>
      </w:pPr>
      <w:r>
        <w:rPr>
          <w:rFonts w:ascii="SimSun" w:hAnsi="SimSun" w:eastAsia="SimSun" w:cs="SimSun"/>
          <w:sz w:val="17"/>
          <w:szCs w:val="17"/>
          <w:color w:val="333333"/>
          <w:spacing w:val="5"/>
        </w:rPr>
        <w:t>一是“十四五”时期，财政部将采用更加多元化的学术交流模式，不断完善对外交流开放平台，形成国际化的运行机制和理</w:t>
      </w:r>
      <w:r>
        <w:rPr>
          <w:rFonts w:ascii="SimSun" w:hAnsi="SimSun" w:eastAsia="SimSun" w:cs="SimSun"/>
          <w:sz w:val="17"/>
          <w:szCs w:val="17"/>
          <w:color w:val="333333"/>
          <w:spacing w:val="34"/>
        </w:rPr>
        <w:t> </w:t>
      </w:r>
      <w:r>
        <w:rPr>
          <w:rFonts w:ascii="SimSun" w:hAnsi="SimSun" w:eastAsia="SimSun" w:cs="SimSun"/>
          <w:sz w:val="17"/>
          <w:szCs w:val="17"/>
          <w:color w:val="333333"/>
          <w:spacing w:val="1"/>
        </w:rPr>
        <w:t>念，积极开展全球学术交流和合作，对外传播中国会计改革发展模式、中国会计理论成果和学术人才。</w:t>
      </w:r>
    </w:p>
    <w:p>
      <w:pPr>
        <w:ind w:left="1044" w:right="1016" w:firstLine="347"/>
        <w:spacing w:before="107" w:line="327" w:lineRule="auto"/>
        <w:rPr>
          <w:rFonts w:ascii="SimSun" w:hAnsi="SimSun" w:eastAsia="SimSun" w:cs="SimSun"/>
          <w:sz w:val="17"/>
          <w:szCs w:val="17"/>
        </w:rPr>
      </w:pPr>
      <w:r>
        <w:rPr>
          <w:rFonts w:ascii="SimSun" w:hAnsi="SimSun" w:eastAsia="SimSun" w:cs="SimSun"/>
          <w:sz w:val="17"/>
          <w:szCs w:val="17"/>
          <w:color w:val="333333"/>
          <w:spacing w:val="2"/>
        </w:rPr>
        <w:t>二是在着力解决我国会计实践与会计改革发展中的重大问题的同时，聚焦关系人类共同命运的全球问题，推动中国的会计人才</w:t>
      </w:r>
      <w:r>
        <w:rPr>
          <w:rFonts w:ascii="SimSun" w:hAnsi="SimSun" w:eastAsia="SimSun" w:cs="SimSun"/>
          <w:sz w:val="17"/>
          <w:szCs w:val="17"/>
          <w:color w:val="333333"/>
          <w:spacing w:val="30"/>
        </w:rPr>
        <w:t> </w:t>
      </w:r>
      <w:r>
        <w:rPr>
          <w:rFonts w:ascii="SimSun" w:hAnsi="SimSun" w:eastAsia="SimSun" w:cs="SimSun"/>
          <w:sz w:val="17"/>
          <w:szCs w:val="17"/>
          <w:color w:val="333333"/>
          <w:spacing w:val="1"/>
        </w:rPr>
        <w:t>和研究成果走向世界，为人类会计事业的发展提出中国方案，贡献中国智慧。</w:t>
      </w:r>
    </w:p>
    <w:p>
      <w:pPr>
        <w:ind w:firstLine="1390"/>
        <w:spacing w:before="107" w:line="187" w:lineRule="auto"/>
        <w:rPr>
          <w:rFonts w:ascii="SimSun" w:hAnsi="SimSun" w:eastAsia="SimSun" w:cs="SimSun"/>
          <w:sz w:val="17"/>
          <w:szCs w:val="17"/>
        </w:rPr>
      </w:pPr>
      <w:r>
        <w:rPr>
          <w:rFonts w:ascii="SimSun" w:hAnsi="SimSun" w:eastAsia="SimSun" w:cs="SimSun"/>
          <w:sz w:val="17"/>
          <w:szCs w:val="17"/>
          <w:color w:val="333333"/>
          <w:spacing w:val="-1"/>
        </w:rPr>
        <w:t>2.有效运用国际合作机制。</w:t>
      </w:r>
    </w:p>
    <w:p>
      <w:pPr>
        <w:ind w:left="1044" w:right="1016" w:firstLine="344"/>
        <w:spacing w:before="237" w:line="327" w:lineRule="auto"/>
        <w:rPr>
          <w:rFonts w:ascii="SimSun" w:hAnsi="SimSun" w:eastAsia="SimSun" w:cs="SimSun"/>
          <w:sz w:val="17"/>
          <w:szCs w:val="17"/>
        </w:rPr>
      </w:pPr>
      <w:r>
        <w:rPr>
          <w:rFonts w:ascii="SimSun" w:hAnsi="SimSun" w:eastAsia="SimSun" w:cs="SimSun"/>
          <w:sz w:val="17"/>
          <w:szCs w:val="17"/>
          <w:color w:val="333333"/>
          <w:spacing w:val="2"/>
        </w:rPr>
        <w:t>配合国家对外开放发展战略开展学术交流合作，积极运用“一带一路”财经发展研究中心、亚太财经与发展研究中心等国际合</w:t>
      </w:r>
      <w:r>
        <w:rPr>
          <w:rFonts w:ascii="SimSun" w:hAnsi="SimSun" w:eastAsia="SimSun" w:cs="SimSun"/>
          <w:sz w:val="17"/>
          <w:szCs w:val="17"/>
          <w:color w:val="333333"/>
          <w:spacing w:val="33"/>
        </w:rPr>
        <w:t> </w:t>
      </w:r>
      <w:r>
        <w:rPr>
          <w:rFonts w:ascii="SimSun" w:hAnsi="SimSun" w:eastAsia="SimSun" w:cs="SimSun"/>
          <w:sz w:val="17"/>
          <w:szCs w:val="17"/>
          <w:color w:val="333333"/>
          <w:spacing w:val="2"/>
        </w:rPr>
        <w:t>作机制，与其他国家建立起经常性的联络和对话，并就最新研究成果、准则制定进展等重要问题进行定期交流与探讨，不断提高我</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1"/>
        </w:rPr>
        <w:t>国在国际会计准则制定中的话语权与影响力，更好地促进经贸往来和资本流动。</w:t>
      </w:r>
    </w:p>
    <w:p>
      <w:pPr>
        <w:spacing w:line="74" w:lineRule="exact"/>
        <w:rPr/>
      </w:pPr>
      <w:r/>
    </w:p>
    <w:p>
      <w:pPr>
        <w:sectPr>
          <w:headerReference w:type="default" r:id="rId8"/>
          <w:pgSz w:w="11900" w:h="16839"/>
          <w:pgMar w:top="293" w:right="0" w:bottom="0" w:left="0" w:header="0" w:footer="0" w:gutter="0"/>
          <w:cols w:equalWidth="0" w:num="1">
            <w:col w:w="11900" w:space="0"/>
          </w:cols>
        </w:sectPr>
        <w:rPr/>
      </w:pPr>
    </w:p>
    <w:p>
      <w:pPr>
        <w:ind w:firstLine="1039"/>
        <w:spacing w:before="35"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color w:val="333333"/>
          <w:spacing w:val="1"/>
        </w:rPr>
        <w:t>相关文章:</w:t>
      </w:r>
    </w:p>
    <w:p>
      <w:pPr>
        <w:ind w:firstLine="1040"/>
        <w:spacing w:before="165" w:line="188" w:lineRule="auto"/>
        <w:rPr>
          <w:rFonts w:ascii="Microsoft YaHei" w:hAnsi="Microsoft YaHei" w:eastAsia="Microsoft YaHei" w:cs="Microsoft YaHei"/>
          <w:sz w:val="16"/>
          <w:szCs w:val="16"/>
        </w:rPr>
      </w:pPr>
      <w:hyperlink w:history="true" r:id="rId13">
        <w:r>
          <w:rPr>
            <w:rFonts w:ascii="Microsoft YaHei" w:hAnsi="Microsoft YaHei" w:eastAsia="Microsoft YaHei" w:cs="Microsoft YaHei"/>
            <w:sz w:val="16"/>
            <w:szCs w:val="16"/>
            <w:color w:val="2B50A8"/>
            <w:spacing w:val="1"/>
          </w:rPr>
          <w:t>关于印发《会计改革与发展“十四五”规划纲要》的通知</w:t>
        </w:r>
      </w:hyperlink>
    </w:p>
    <w:p>
      <w:pPr>
        <w:ind w:firstLine="1039"/>
        <w:spacing w:before="281"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1"/>
        </w:rPr>
        <w:t>发布日期:</w:t>
      </w:r>
      <w:r>
        <w:rPr>
          <w:rFonts w:ascii="Microsoft YaHei" w:hAnsi="Microsoft YaHei" w:eastAsia="Microsoft YaHei" w:cs="Microsoft YaHei"/>
          <w:sz w:val="15"/>
          <w:szCs w:val="15"/>
          <w:color w:val="333333"/>
          <w:spacing w:val="10"/>
          <w:w w:val="102"/>
        </w:rPr>
        <w:t>  </w:t>
      </w:r>
      <w:r>
        <w:rPr>
          <w:rFonts w:ascii="Microsoft YaHei" w:hAnsi="Microsoft YaHei" w:eastAsia="Microsoft YaHei" w:cs="Microsoft YaHei"/>
          <w:sz w:val="15"/>
          <w:szCs w:val="15"/>
          <w:color w:val="333333"/>
          <w:spacing w:val="-1"/>
        </w:rPr>
        <w:t>2022年04月24日</w:t>
      </w:r>
    </w:p>
    <w:p>
      <w:pPr>
        <w:rPr/>
      </w:pPr>
      <w:r/>
    </w:p>
    <w:p>
      <w:pPr>
        <w:spacing w:line="216" w:lineRule="exact"/>
        <w:rPr/>
      </w:pPr>
      <w:r/>
    </w:p>
    <w:p>
      <w:pPr>
        <w:spacing w:line="14" w:lineRule="auto"/>
        <w:rPr>
          <w:rFonts w:ascii="SimSun"/>
          <w:sz w:val="2"/>
        </w:rPr>
      </w:pPr>
      <w:r>
        <w:rPr>
          <w:rFonts w:ascii="SimSun" w:hAnsi="SimSun" w:eastAsia="SimSun" w:cs="SimSun"/>
          <w:sz w:val="2"/>
          <w:szCs w:val="2"/>
        </w:rPr>
        <w:br w:type="column"/>
      </w:r>
    </w:p>
    <w:p>
      <w:pPr>
        <w:spacing w:line="260" w:lineRule="auto"/>
        <w:rPr>
          <w:rFonts w:ascii="SimSun"/>
          <w:sz w:val="21"/>
        </w:rPr>
      </w:pPr>
      <w:r/>
    </w:p>
    <w:p>
      <w:pPr>
        <w:spacing w:line="261" w:lineRule="auto"/>
        <w:rPr>
          <w:rFonts w:ascii="SimSun"/>
          <w:sz w:val="21"/>
        </w:rPr>
      </w:pPr>
      <w:r/>
    </w:p>
    <w:p>
      <w:pPr>
        <w:spacing w:line="261" w:lineRule="auto"/>
        <w:rPr>
          <w:rFonts w:ascii="SimSun"/>
          <w:sz w:val="21"/>
        </w:rPr>
      </w:pPr>
      <w:r/>
    </w:p>
    <w:p>
      <w:pPr>
        <w:ind w:firstLine="2032"/>
        <w:spacing w:before="1" w:line="280" w:lineRule="exact"/>
        <w:textAlignment w:val="center"/>
        <w:rPr/>
      </w:pPr>
      <w:r>
        <w:drawing>
          <wp:inline distT="0" distB="0" distL="0" distR="0">
            <wp:extent cx="177647" cy="177647"/>
            <wp:effectExtent l="0" t="0" r="0" b="0"/>
            <wp:docPr id="8" name="IM 8"/>
            <wp:cNvGraphicFramePr/>
            <a:graphic>
              <a:graphicData uri="http://schemas.openxmlformats.org/drawingml/2006/picture">
                <pic:pic>
                  <pic:nvPicPr>
                    <pic:cNvPr id="8" name="IM 8"/>
                    <pic:cNvPicPr/>
                  </pic:nvPicPr>
                  <pic:blipFill>
                    <a:blip r:embed="rId14"/>
                    <a:stretch>
                      <a:fillRect/>
                    </a:stretch>
                  </pic:blipFill>
                  <pic:spPr>
                    <a:xfrm rot="0">
                      <a:off x="0" y="0"/>
                      <a:ext cx="177647" cy="177647"/>
                    </a:xfrm>
                    <a:prstGeom prst="rect">
                      <a:avLst/>
                    </a:prstGeom>
                  </pic:spPr>
                </pic:pic>
              </a:graphicData>
            </a:graphic>
          </wp:inline>
        </w:drawing>
      </w:r>
    </w:p>
    <w:p>
      <w:pPr>
        <w:ind w:firstLine="1580"/>
        <w:spacing w:before="199" w:line="194"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333333"/>
          <w:spacing w:val="-9"/>
        </w:rPr>
        <w:t>【</w:t>
      </w:r>
      <w:r>
        <w:rPr>
          <w:rFonts w:ascii="Microsoft YaHei" w:hAnsi="Microsoft YaHei" w:eastAsia="Microsoft YaHei" w:cs="Microsoft YaHei"/>
          <w:sz w:val="14"/>
          <w:szCs w:val="14"/>
          <w:color w:val="333333"/>
          <w:spacing w:val="-6"/>
        </w:rPr>
        <w:t> </w:t>
      </w:r>
      <w:r>
        <w:rPr>
          <w:rFonts w:ascii="Microsoft YaHei" w:hAnsi="Microsoft YaHei" w:eastAsia="Microsoft YaHei" w:cs="Microsoft YaHei"/>
          <w:sz w:val="12"/>
          <w:szCs w:val="12"/>
          <w:color w:val="333333"/>
          <w:spacing w:val="-9"/>
        </w:rPr>
        <w:t>大</w:t>
      </w:r>
      <w:r>
        <w:rPr>
          <w:rFonts w:ascii="Microsoft YaHei" w:hAnsi="Microsoft YaHei" w:eastAsia="Microsoft YaHei" w:cs="Microsoft YaHei"/>
          <w:sz w:val="12"/>
          <w:szCs w:val="12"/>
          <w:color w:val="333333"/>
          <w:spacing w:val="9"/>
          <w:w w:val="101"/>
        </w:rPr>
        <w:t> </w:t>
      </w:r>
      <w:r>
        <w:rPr>
          <w:rFonts w:ascii="Microsoft YaHei" w:hAnsi="Microsoft YaHei" w:eastAsia="Microsoft YaHei" w:cs="Microsoft YaHei"/>
          <w:sz w:val="12"/>
          <w:szCs w:val="12"/>
          <w:color w:val="333333"/>
          <w:spacing w:val="-9"/>
        </w:rPr>
        <w:t>中</w:t>
      </w:r>
      <w:r>
        <w:rPr>
          <w:rFonts w:ascii="Microsoft YaHei" w:hAnsi="Microsoft YaHei" w:eastAsia="Microsoft YaHei" w:cs="Microsoft YaHei"/>
          <w:sz w:val="12"/>
          <w:szCs w:val="12"/>
          <w:color w:val="333333"/>
          <w:spacing w:val="1"/>
          <w:w w:val="101"/>
        </w:rPr>
        <w:t> </w:t>
      </w:r>
      <w:r>
        <w:rPr>
          <w:rFonts w:ascii="Microsoft YaHei" w:hAnsi="Microsoft YaHei" w:eastAsia="Microsoft YaHei" w:cs="Microsoft YaHei"/>
          <w:sz w:val="12"/>
          <w:szCs w:val="12"/>
          <w:color w:val="333333"/>
          <w:spacing w:val="-9"/>
        </w:rPr>
        <w:t>小</w:t>
      </w:r>
      <w:r>
        <w:rPr>
          <w:rFonts w:ascii="Microsoft YaHei" w:hAnsi="Microsoft YaHei" w:eastAsia="Microsoft YaHei" w:cs="Microsoft YaHei"/>
          <w:sz w:val="12"/>
          <w:szCs w:val="12"/>
          <w:color w:val="333333"/>
          <w:spacing w:val="-2"/>
        </w:rPr>
        <w:t> </w:t>
      </w:r>
      <w:r>
        <w:rPr>
          <w:rFonts w:ascii="Microsoft YaHei" w:hAnsi="Microsoft YaHei" w:eastAsia="Microsoft YaHei" w:cs="Microsoft YaHei"/>
          <w:sz w:val="14"/>
          <w:szCs w:val="14"/>
          <w:color w:val="333333"/>
          <w:spacing w:val="-9"/>
        </w:rPr>
        <w:t>】</w:t>
      </w:r>
    </w:p>
    <w:p>
      <w:pPr>
        <w:spacing w:line="14" w:lineRule="auto"/>
        <w:rPr>
          <w:rFonts w:ascii="SimSun"/>
          <w:sz w:val="2"/>
        </w:rPr>
      </w:pPr>
      <w:r>
        <w:rPr>
          <w:rFonts w:ascii="SimSun" w:hAnsi="SimSun" w:eastAsia="SimSun" w:cs="SimSun"/>
          <w:sz w:val="2"/>
          <w:szCs w:val="2"/>
        </w:rPr>
        <w:br w:type="column"/>
      </w:r>
    </w:p>
    <w:p>
      <w:pPr>
        <w:spacing w:line="260" w:lineRule="auto"/>
        <w:rPr>
          <w:rFonts w:ascii="SimSun"/>
          <w:sz w:val="21"/>
        </w:rPr>
      </w:pPr>
      <w:r/>
    </w:p>
    <w:p>
      <w:pPr>
        <w:spacing w:line="261" w:lineRule="auto"/>
        <w:rPr>
          <w:rFonts w:ascii="SimSun"/>
          <w:sz w:val="21"/>
        </w:rPr>
      </w:pPr>
      <w:r/>
    </w:p>
    <w:p>
      <w:pPr>
        <w:spacing w:line="261" w:lineRule="auto"/>
        <w:rPr>
          <w:rFonts w:ascii="SimSun"/>
          <w:sz w:val="21"/>
        </w:rPr>
      </w:pPr>
      <w:r/>
    </w:p>
    <w:p>
      <w:pPr>
        <w:spacing w:before="1" w:line="280" w:lineRule="exact"/>
        <w:textAlignment w:val="center"/>
        <w:rPr/>
      </w:pPr>
      <w:r>
        <w:drawing>
          <wp:inline distT="0" distB="0" distL="0" distR="0">
            <wp:extent cx="177647" cy="177647"/>
            <wp:effectExtent l="0" t="0" r="0" b="0"/>
            <wp:docPr id="9" name="IM 9"/>
            <wp:cNvGraphicFramePr/>
            <a:graphic>
              <a:graphicData uri="http://schemas.openxmlformats.org/drawingml/2006/picture">
                <pic:pic>
                  <pic:nvPicPr>
                    <pic:cNvPr id="9" name="IM 9"/>
                    <pic:cNvPicPr/>
                  </pic:nvPicPr>
                  <pic:blipFill>
                    <a:blip r:embed="rId15"/>
                    <a:stretch>
                      <a:fillRect/>
                    </a:stretch>
                  </pic:blipFill>
                  <pic:spPr>
                    <a:xfrm rot="0">
                      <a:off x="0" y="0"/>
                      <a:ext cx="177647" cy="177647"/>
                    </a:xfrm>
                    <a:prstGeom prst="rect">
                      <a:avLst/>
                    </a:prstGeom>
                  </pic:spPr>
                </pic:pic>
              </a:graphicData>
            </a:graphic>
          </wp:inline>
        </w:drawing>
      </w:r>
    </w:p>
    <w:p>
      <w:pPr>
        <w:ind w:firstLine="108"/>
        <w:spacing w:before="215" w:line="185" w:lineRule="auto"/>
        <w:rPr>
          <w:rFonts w:ascii="Microsoft YaHei" w:hAnsi="Microsoft YaHei" w:eastAsia="Microsoft YaHei" w:cs="Microsoft YaHei"/>
          <w:sz w:val="13"/>
          <w:szCs w:val="13"/>
        </w:rPr>
      </w:pPr>
      <w:hyperlink w:history="true" r:id="rId16">
        <w:r>
          <w:rPr>
            <w:rFonts w:ascii="Microsoft YaHei" w:hAnsi="Microsoft YaHei" w:eastAsia="Microsoft YaHei" w:cs="Microsoft YaHei"/>
            <w:sz w:val="13"/>
            <w:szCs w:val="13"/>
            <w:color w:val="007DC1"/>
            <w:spacing w:val="-4"/>
          </w:rPr>
          <w:t>【打印此页】</w:t>
        </w:r>
      </w:hyperlink>
    </w:p>
    <w:p>
      <w:pPr>
        <w:spacing w:line="14" w:lineRule="auto"/>
        <w:rPr>
          <w:rFonts w:ascii="SimSun"/>
          <w:sz w:val="2"/>
        </w:rPr>
      </w:pPr>
      <w:r>
        <w:rPr>
          <w:rFonts w:ascii="SimSun" w:hAnsi="SimSun" w:eastAsia="SimSun" w:cs="SimSun"/>
          <w:sz w:val="2"/>
          <w:szCs w:val="2"/>
        </w:rPr>
        <w:br w:type="column"/>
      </w:r>
    </w:p>
    <w:p>
      <w:pPr>
        <w:spacing w:line="292" w:lineRule="auto"/>
        <w:rPr>
          <w:rFonts w:ascii="SimSun"/>
          <w:sz w:val="21"/>
        </w:rPr>
      </w:pPr>
      <w:r/>
    </w:p>
    <w:p>
      <w:pPr>
        <w:spacing w:line="292" w:lineRule="auto"/>
        <w:rPr>
          <w:rFonts w:ascii="SimSun"/>
          <w:sz w:val="21"/>
        </w:rPr>
      </w:pPr>
      <w:r/>
    </w:p>
    <w:p>
      <w:pPr>
        <w:spacing w:line="292" w:lineRule="auto"/>
        <w:rPr>
          <w:rFonts w:ascii="SimSun"/>
          <w:sz w:val="21"/>
        </w:rPr>
      </w:pPr>
      <w:r/>
    </w:p>
    <w:p>
      <w:pPr>
        <w:spacing w:line="293" w:lineRule="auto"/>
        <w:rPr>
          <w:rFonts w:ascii="SimSun"/>
          <w:sz w:val="21"/>
        </w:rPr>
      </w:pPr>
      <w:r/>
    </w:p>
    <w:p>
      <w:pPr>
        <w:ind w:firstLine="2"/>
        <w:spacing w:before="56" w:line="185" w:lineRule="auto"/>
        <w:rPr>
          <w:rFonts w:ascii="Microsoft YaHei" w:hAnsi="Microsoft YaHei" w:eastAsia="Microsoft YaHei" w:cs="Microsoft YaHei"/>
          <w:sz w:val="13"/>
          <w:szCs w:val="13"/>
        </w:rPr>
      </w:pPr>
      <w:hyperlink w:history="true" r:id="rId17">
        <w:r>
          <w:rPr>
            <w:rFonts w:ascii="Microsoft YaHei" w:hAnsi="Microsoft YaHei" w:eastAsia="Microsoft YaHei" w:cs="Microsoft YaHei"/>
            <w:sz w:val="13"/>
            <w:szCs w:val="13"/>
            <w:color w:val="333333"/>
            <w:spacing w:val="-3"/>
          </w:rPr>
          <w:t>【关闭窗口】</w:t>
        </w:r>
      </w:hyperlink>
    </w:p>
    <w:p>
      <w:pPr>
        <w:sectPr>
          <w:type w:val="continuous"/>
          <w:pgSz w:w="11900" w:h="16839"/>
          <w:pgMar w:top="293" w:right="0" w:bottom="0" w:left="0" w:header="0" w:footer="0" w:gutter="0"/>
          <w:cols w:equalWidth="0" w:num="4">
            <w:col w:w="6733" w:space="100"/>
            <w:col w:w="2327" w:space="28"/>
            <w:col w:w="872" w:space="53"/>
            <w:col w:w="1786" w:space="0"/>
          </w:cols>
        </w:sectPr>
        <w:rPr/>
      </w:pPr>
    </w:p>
    <w:p>
      <w:pPr>
        <w:rPr/>
      </w:pPr>
      <w:r/>
    </w:p>
    <w:p>
      <w:pPr>
        <w:rPr/>
      </w:pPr>
      <w:r/>
    </w:p>
    <w:p>
      <w:pPr>
        <w:spacing w:line="70" w:lineRule="exact"/>
        <w:rPr/>
      </w:pPr>
      <w:r/>
    </w:p>
    <w:p>
      <w:pPr>
        <w:sectPr>
          <w:type w:val="continuous"/>
          <w:pgSz w:w="11900" w:h="16839"/>
          <w:pgMar w:top="293" w:right="0" w:bottom="0" w:left="0" w:header="0" w:footer="0" w:gutter="0"/>
          <w:cols w:equalWidth="0" w:num="1">
            <w:col w:w="11900" w:space="0"/>
          </w:cols>
        </w:sectPr>
        <w:rPr/>
      </w:pPr>
    </w:p>
    <w:p>
      <w:pPr>
        <w:ind w:firstLine="6215"/>
        <w:spacing w:before="44" w:line="188" w:lineRule="auto"/>
        <w:rPr>
          <w:rFonts w:ascii="Microsoft YaHei" w:hAnsi="Microsoft YaHei" w:eastAsia="Microsoft YaHei" w:cs="Microsoft YaHei"/>
          <w:sz w:val="16"/>
          <w:szCs w:val="16"/>
        </w:rPr>
      </w:pPr>
      <w:hyperlink w:history="true" r:id="rId18">
        <w:r>
          <w:rPr>
            <w:rFonts w:ascii="Microsoft YaHei" w:hAnsi="Microsoft YaHei" w:eastAsia="Microsoft YaHei" w:cs="Microsoft YaHei"/>
            <w:sz w:val="16"/>
            <w:szCs w:val="16"/>
            <w:color w:val="222222"/>
            <w:spacing w:val="-2"/>
          </w:rPr>
          <w:t>网站地图</w:t>
        </w:r>
      </w:hyperlink>
    </w:p>
    <w:p>
      <w:pPr>
        <w:spacing w:line="14" w:lineRule="auto"/>
        <w:rPr>
          <w:rFonts w:ascii="SimSun"/>
          <w:sz w:val="2"/>
        </w:rPr>
      </w:pPr>
      <w:r>
        <w:rPr>
          <w:rFonts w:ascii="SimSun" w:hAnsi="SimSun" w:eastAsia="SimSun" w:cs="SimSun"/>
          <w:sz w:val="2"/>
          <w:szCs w:val="2"/>
        </w:rPr>
        <w:br w:type="column"/>
      </w:r>
    </w:p>
    <w:p>
      <w:pPr>
        <w:ind w:firstLine="98"/>
        <w:spacing w:before="63" w:line="173" w:lineRule="exact"/>
        <w:textAlignment w:val="center"/>
        <w:rPr/>
      </w:pPr>
      <w:r>
        <w:drawing>
          <wp:inline distT="0" distB="0" distL="0" distR="0">
            <wp:extent cx="6832" cy="109321"/>
            <wp:effectExtent l="0" t="0" r="0" b="0"/>
            <wp:docPr id="10" name="IM 10"/>
            <wp:cNvGraphicFramePr/>
            <a:graphic>
              <a:graphicData uri="http://schemas.openxmlformats.org/drawingml/2006/picture">
                <pic:pic>
                  <pic:nvPicPr>
                    <pic:cNvPr id="10" name="IM 10"/>
                    <pic:cNvPicPr/>
                  </pic:nvPicPr>
                  <pic:blipFill>
                    <a:blip r:embed="rId19"/>
                    <a:stretch>
                      <a:fillRect/>
                    </a:stretch>
                  </pic:blipFill>
                  <pic:spPr>
                    <a:xfrm rot="0">
                      <a:off x="0" y="0"/>
                      <a:ext cx="6832" cy="109321"/>
                    </a:xfrm>
                    <a:prstGeom prst="rect">
                      <a:avLst/>
                    </a:prstGeom>
                  </pic:spPr>
                </pic:pic>
              </a:graphicData>
            </a:graphic>
          </wp:inline>
        </w:drawing>
      </w:r>
    </w:p>
    <w:p>
      <w:pPr>
        <w:spacing w:line="14" w:lineRule="auto"/>
        <w:rPr>
          <w:rFonts w:ascii="SimSun"/>
          <w:sz w:val="2"/>
        </w:rPr>
      </w:pPr>
      <w:r>
        <w:rPr>
          <w:rFonts w:ascii="SimSun" w:hAnsi="SimSun" w:eastAsia="SimSun" w:cs="SimSun"/>
          <w:sz w:val="2"/>
          <w:szCs w:val="2"/>
        </w:rPr>
        <w:br w:type="column"/>
      </w:r>
    </w:p>
    <w:p>
      <w:pPr>
        <w:ind w:firstLine="72"/>
        <w:spacing w:before="42" w:line="188" w:lineRule="auto"/>
        <w:rPr>
          <w:rFonts w:ascii="Microsoft YaHei" w:hAnsi="Microsoft YaHei" w:eastAsia="Microsoft YaHei" w:cs="Microsoft YaHei"/>
          <w:sz w:val="16"/>
          <w:szCs w:val="16"/>
        </w:rPr>
      </w:pPr>
      <w:hyperlink w:history="true" r:id="rId20">
        <w:r>
          <w:rPr>
            <w:rFonts w:ascii="Microsoft YaHei" w:hAnsi="Microsoft YaHei" w:eastAsia="Microsoft YaHei" w:cs="Microsoft YaHei"/>
            <w:sz w:val="16"/>
            <w:szCs w:val="16"/>
            <w:color w:val="222222"/>
          </w:rPr>
          <w:t>联系我们</w:t>
        </w:r>
      </w:hyperlink>
    </w:p>
    <w:p>
      <w:pPr>
        <w:sectPr>
          <w:type w:val="continuous"/>
          <w:pgSz w:w="11900" w:h="16839"/>
          <w:pgMar w:top="293" w:right="0" w:bottom="0" w:left="0" w:header="0" w:footer="0" w:gutter="0"/>
          <w:cols w:equalWidth="0" w:num="3">
            <w:col w:w="6946" w:space="100"/>
            <w:col w:w="181" w:space="100"/>
            <w:col w:w="4573" w:space="0"/>
          </w:cols>
        </w:sectPr>
        <w:rPr/>
      </w:pPr>
    </w:p>
    <w:p>
      <w:pPr>
        <w:ind w:firstLine="6076"/>
        <w:spacing w:before="21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主办单位：中华人民共和国财政部</w:t>
      </w:r>
    </w:p>
    <w:p>
      <w:pPr>
        <w:ind w:firstLine="4402"/>
        <w:spacing w:before="47" w:line="22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rPr>
        <w:t>网站标识码：bm14000001</w:t>
      </w:r>
      <w:r>
        <w:rPr>
          <w:rFonts w:ascii="Microsoft YaHei" w:hAnsi="Microsoft YaHei" w:eastAsia="Microsoft YaHei" w:cs="Microsoft YaHei"/>
          <w:sz w:val="14"/>
          <w:szCs w:val="14"/>
          <w:color w:val="222222"/>
          <w:spacing w:val="62"/>
        </w:rPr>
        <w:t> </w:t>
      </w:r>
      <w:hyperlink w:history="true" r:id="rId21">
        <w:r>
          <w:rPr>
            <w:rFonts w:ascii="Microsoft YaHei" w:hAnsi="Microsoft YaHei" w:eastAsia="Microsoft YaHei" w:cs="Microsoft YaHei"/>
            <w:sz w:val="14"/>
            <w:szCs w:val="14"/>
            <w:color w:val="222222"/>
          </w:rPr>
          <w:t>京ICP备05002860号</w:t>
        </w:r>
      </w:hyperlink>
      <w:r>
        <w:rPr>
          <w:rFonts w:ascii="Microsoft YaHei" w:hAnsi="Microsoft YaHei" w:eastAsia="Microsoft YaHei" w:cs="Microsoft YaHei"/>
          <w:sz w:val="14"/>
          <w:szCs w:val="14"/>
          <w:color w:val="222222"/>
          <w:spacing w:val="20"/>
          <w:w w:val="101"/>
        </w:rPr>
        <w:t>  </w:t>
      </w:r>
      <w:hyperlink w:history="true" r:id="rId22">
        <w:r>
          <w:rPr>
            <w:sz w:val="14"/>
            <w:szCs w:val="14"/>
            <w:position w:val="-7"/>
          </w:rPr>
          <w:drawing>
            <wp:inline distT="0" distB="0" distL="0" distR="0">
              <wp:extent cx="136652" cy="136652"/>
              <wp:effectExtent l="0" t="0" r="0" b="0"/>
              <wp:docPr id="11" name="IM 11"/>
              <wp:cNvGraphicFramePr/>
              <a:graphic>
                <a:graphicData uri="http://schemas.openxmlformats.org/drawingml/2006/picture">
                  <pic:pic>
                    <pic:nvPicPr>
                      <pic:cNvPr id="11" name="IM 11"/>
                      <pic:cNvPicPr/>
                    </pic:nvPicPr>
                    <pic:blipFill>
                      <a:blip r:embed="rId23"/>
                      <a:stretch>
                        <a:fillRect/>
                      </a:stretch>
                    </pic:blipFill>
                    <pic:spPr>
                      <a:xfrm rot="0">
                        <a:off x="0" y="0"/>
                        <a:ext cx="136652" cy="136652"/>
                      </a:xfrm>
                      <a:prstGeom prst="rect">
                        <a:avLst/>
                      </a:prstGeom>
                    </pic:spPr>
                  </pic:pic>
                </a:graphicData>
              </a:graphic>
            </wp:inline>
          </w:drawing>
        </w:r>
        <w:r>
          <w:rPr>
            <w:rFonts w:ascii="Microsoft YaHei" w:hAnsi="Microsoft YaHei" w:eastAsia="Microsoft YaHei" w:cs="Microsoft YaHei"/>
            <w:sz w:val="14"/>
            <w:szCs w:val="14"/>
            <w:color w:val="222222"/>
            <w:spacing w:val="-37"/>
          </w:rPr>
          <w:t> </w:t>
        </w:r>
        <w:r>
          <w:rPr>
            <w:rFonts w:ascii="Microsoft YaHei" w:hAnsi="Microsoft YaHei" w:eastAsia="Microsoft YaHei" w:cs="Microsoft YaHei"/>
            <w:sz w:val="14"/>
            <w:szCs w:val="14"/>
            <w:color w:val="222222"/>
          </w:rPr>
          <w:t>京公网安备11010202000006号</w:t>
        </w:r>
      </w:hyperlink>
    </w:p>
    <w:p>
      <w:pPr>
        <w:ind w:firstLine="6144"/>
        <w:spacing w:before="6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技术支持：财政部信息网络中心</w:t>
      </w:r>
    </w:p>
    <w:p>
      <w:pPr>
        <w:ind w:firstLine="5343"/>
        <w:spacing w:before="78"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中华人民共和国财政部</w:t>
      </w:r>
      <w:r>
        <w:rPr>
          <w:rFonts w:ascii="Microsoft YaHei" w:hAnsi="Microsoft YaHei" w:eastAsia="Microsoft YaHei" w:cs="Microsoft YaHei"/>
          <w:sz w:val="14"/>
          <w:szCs w:val="14"/>
          <w:color w:val="222222"/>
          <w:spacing w:val="5"/>
        </w:rPr>
        <w:t>  </w:t>
      </w:r>
      <w:r>
        <w:rPr>
          <w:rFonts w:ascii="Microsoft YaHei" w:hAnsi="Microsoft YaHei" w:eastAsia="Microsoft YaHei" w:cs="Microsoft YaHei"/>
          <w:sz w:val="14"/>
          <w:szCs w:val="14"/>
          <w:color w:val="222222"/>
          <w:spacing w:val="-1"/>
        </w:rPr>
        <w:t>版权所有，如需转载，请注明来源</w:t>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ind w:firstLine="539"/>
        <w:spacing w:before="46" w:line="218" w:lineRule="exact"/>
        <w:rPr>
          <w:rFonts w:ascii="Arial" w:hAnsi="Arial" w:eastAsia="Arial" w:cs="Arial"/>
          <w:sz w:val="16"/>
          <w:szCs w:val="16"/>
        </w:rPr>
      </w:pPr>
      <w:r>
        <w:rPr>
          <w:rFonts w:ascii="Arial" w:hAnsi="Arial" w:eastAsia="Arial" w:cs="Arial"/>
          <w:sz w:val="16"/>
          <w:szCs w:val="16"/>
          <w:spacing w:val="-1"/>
        </w:rPr>
        <w:t>kjs.mof.gov.cn/zhengcejiedu/202204/t20220421_3804563.htm</w:t>
      </w:r>
      <w:r>
        <w:rPr>
          <w:rFonts w:ascii="Arial" w:hAnsi="Arial" w:eastAsia="Arial" w:cs="Arial"/>
          <w:sz w:val="16"/>
          <w:szCs w:val="16"/>
        </w:rPr>
        <w:t>                                                                                                                                            </w:t>
      </w:r>
      <w:r>
        <w:rPr>
          <w:rFonts w:ascii="Arial" w:hAnsi="Arial" w:eastAsia="Arial" w:cs="Arial"/>
          <w:sz w:val="16"/>
          <w:szCs w:val="16"/>
          <w:spacing w:val="-1"/>
        </w:rPr>
        <w:t>5/5</w:t>
      </w:r>
    </w:p>
    <w:sectPr>
      <w:type w:val="continuous"/>
      <w:pgSz w:w="11900" w:h="16839"/>
      <w:pgMar w:top="293" w:right="0" w:bottom="0" w:left="0" w:header="0" w:footer="0" w:gutter="0"/>
      <w:cols w:equalWidth="0" w:num="1">
        <w:col w:w="11900" w:space="0"/>
      </w:cols>
    </w:sectPr>
  </w:body>
</w:document>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rPr>
        <w:rFonts w:ascii="SimSun"/>
        <w:sz w:val="21"/>
      </w:rPr>
    </w:pPr>
    <w:r>
      <w:drawing>
        <wp:anchor distT="0" distB="0" distL="0" distR="0" simplePos="0" relativeHeight="251658240" behindDoc="0" locked="0" layoutInCell="0" allowOverlap="1">
          <wp:simplePos x="0" y="0"/>
          <wp:positionH relativeFrom="page">
            <wp:posOffset>368299</wp:posOffset>
          </wp:positionH>
          <wp:positionV relativeFrom="page">
            <wp:posOffset>368300</wp:posOffset>
          </wp:positionV>
          <wp:extent cx="6832600" cy="9968762"/>
          <wp:effectExtent l="0" t="0" r="0" b="0"/>
          <wp:wrapNone/>
          <wp:docPr id="3" name="IM 3"/>
          <wp:cNvGraphicFramePr/>
          <a:graphic>
            <a:graphicData uri="http://schemas.openxmlformats.org/drawingml/2006/picture">
              <pic:pic>
                <pic:nvPicPr>
                  <pic:cNvPr id="3" name="IM 3"/>
                  <pic:cNvPicPr/>
                </pic:nvPicPr>
                <pic:blipFill>
                  <a:blip r:embed="rId1"/>
                  <a:stretch>
                    <a:fillRect/>
                  </a:stretch>
                </pic:blipFill>
                <pic:spPr>
                  <a:xfrm rot="0">
                    <a:off x="0" y="0"/>
                    <a:ext cx="6832600" cy="9968762"/>
                  </a:xfrm>
                  <a:prstGeom prst="rect">
                    <a:avLst/>
                  </a:prstGeom>
                </pic:spPr>
              </pic:pic>
            </a:graphicData>
          </a:graphic>
        </wp:anchor>
      </w:drawing>
    </w: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SimSun"/>
        <w:sz w:val="2"/>
      </w:rPr>
    </w:pP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color w:val="000000"/>
        <w:kern w:val="0"/>
        <w:snapToGrid w:val="0"/>
      </w:rPr>
    </w:rPrDefault>
  </w:docDefaults>
  <w:style w:type="paragraph" w:styleId="1" w:default="1">
    <w:name w:val="Normal"/>
    <w:semiHidden/>
    <w:qFormat/>
    <w:pPr>
      <w:spacing w:line="240" w:lineRule="w:auto"/>
      <w:jc w:val="left"/>
      <w:autoSpaceDE w:val="0"/>
      <w:autoSpaceDN w:val="0"/>
      <w:adjustRightInd w:val="0"/>
      <w:snapToGrid w:val="0"/>
      <w:kinsoku w:val="0"/>
      <w:textAlignment w:val="baseline"/>
    </w:pPr>
    <w:rPr>
      <w:color w:val="000000"/>
      <w:kern w:val="0"/>
      <w:snapToGrid w:val="0"/>
      <w:noProof w:val="1"/>
    </w:rPr>
  </w:style>
  <w:style w:type="table" w:styleId="2" w:default="1">
    <w:name w:val="Table Normal"/>
    <w:semiHidden/>
    <w:unhideWhenUsed/>
    <w:qFormat/>
    <w:tblPr>
      <w:tblCellMar>
        <w:left w:w="0" w:type="dxa"/>
        <w:right w:w="0" w:type="dxa"/>
        <w:bottom w:w="0" w:type="dxa"/>
        <w:top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hyperlink" Target="http://kjs.mof.gov.cn/zhengcejiedu/" TargetMode="External"/><Relationship Id="rId5" Type="http://schemas.openxmlformats.org/officeDocument/2006/relationships/hyperlink" Target="http://kjs.mof.gov.cn/" TargetMode="External"/><Relationship Id="rId4" Type="http://schemas.openxmlformats.org/officeDocument/2006/relationships/hyperlink" Target="http://www.mof.gov.cn/" TargetMode="External"/><Relationship Id="rId3" Type="http://schemas.openxmlformats.org/officeDocument/2006/relationships/hyperlink" Target="javascript:void(0)" TargetMode="External"/><Relationship Id="rId25" Type="http://schemas.openxmlformats.org/officeDocument/2006/relationships/styles" Target="styles.xml"/><Relationship Id="rId24" Type="http://schemas.openxmlformats.org/officeDocument/2006/relationships/settings" Target="settings.xml"/><Relationship Id="rId23" Type="http://schemas.openxmlformats.org/officeDocument/2006/relationships/image" Target="media/image11.png"/><Relationship Id="rId22" Type="http://schemas.openxmlformats.org/officeDocument/2006/relationships/hyperlink" Target="http://www.beian.gov.cn/portal/registerSystemInfo?recordcode=11010202000006" TargetMode="External"/><Relationship Id="rId21" Type="http://schemas.openxmlformats.org/officeDocument/2006/relationships/hyperlink" Target="https://beian.miit.gov.cn/#/Integrated/index" TargetMode="External"/><Relationship Id="rId20" Type="http://schemas.openxmlformats.org/officeDocument/2006/relationships/hyperlink" Target="http://www.mof.gov.cn/gywm/" TargetMode="External"/><Relationship Id="rId2" Type="http://schemas.openxmlformats.org/officeDocument/2006/relationships/image" Target="media/image2.png"/><Relationship Id="rId19" Type="http://schemas.openxmlformats.org/officeDocument/2006/relationships/image" Target="media/image10.jpeg"/><Relationship Id="rId18" Type="http://schemas.openxmlformats.org/officeDocument/2006/relationships/hyperlink" Target="http://www.mof.gov.cn/wzdt/" TargetMode="External"/><Relationship Id="rId17" Type="http://schemas.openxmlformats.org/officeDocument/2006/relationships/hyperlink" Target="javascript:close()" TargetMode="External"/><Relationship Id="rId16" Type="http://schemas.openxmlformats.org/officeDocument/2006/relationships/hyperlink" Target="javascript:window.print()" TargetMode="Externa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hyperlink" Target="http://kjs.mof.gov.cn/gongzuodongtai/202111/t20211126_3769461.htm" TargetMode="Externa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docProps/app.xml><?xml version="1.0" encoding="utf-8"?>
<ap:Properties xmlns:vt="http://schemas.openxmlformats.org/officeDocument/2006/docPropsVTypes" xmlns:ap="http://schemas.openxmlformats.org/officeDocument/2006/extended-properties">
  <ap:Application>Mozilla/5.0 (Windows NT 10.0; WOW64) AppleWebKit/537.36 (KHTML, like Gecko) Chrome/86.0.4240.198 Safari/537.36 QIHU 360SE</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2022-04-27T01:09:54Z</dcterms:created>
</cp:coreProperties>
</file>

<file path=docProps/custom.xml><?xml version="1.0" encoding="utf-8"?>
<op:Properties xmlns:vt="http://schemas.openxmlformats.org/officeDocument/2006/docPropsVTypes" xmlns:op="http://schemas.openxmlformats.org/officeDocument/2006/custom-properties">
  <op:property fmtid="{E94486CC-9CD1-11EB-B3E1-52540006F7B4}" pid="2" name="CRO">
    <vt:lpwstr>wqlLaW5nc29mdCBQREYgdG8gV1BTIDY1</vt:lpwstr>
  </op:property>
  <op:property fmtid="{E94486CC-9CD1-11EB-B3E1-52540006F7B4}" pid="3" name="Created">
    <vt:filetime>2022-04-27T16:21:06</vt:filetime>
  </op:property>
</op:Properties>
</file>